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5F89E" w14:textId="77777777" w:rsidR="00C463BC" w:rsidRPr="002E7053" w:rsidRDefault="00C463BC" w:rsidP="00C463BC">
      <w:pPr>
        <w:ind w:left="-720"/>
        <w:rPr>
          <w:rFonts w:cs="Arial"/>
          <w:b/>
          <w:sz w:val="32"/>
        </w:rPr>
      </w:pPr>
      <w:bookmarkStart w:id="0" w:name="_GoBack"/>
      <w:bookmarkEnd w:id="0"/>
      <w:r w:rsidRPr="002E7053">
        <w:rPr>
          <w:rFonts w:cs="Arial"/>
          <w:b/>
          <w:sz w:val="32"/>
        </w:rPr>
        <w:t>Note of decisions taken and actions required</w:t>
      </w:r>
    </w:p>
    <w:tbl>
      <w:tblPr>
        <w:tblW w:w="9288" w:type="dxa"/>
        <w:tblInd w:w="-720" w:type="dxa"/>
        <w:tblLayout w:type="fixed"/>
        <w:tblLook w:val="04A0" w:firstRow="1" w:lastRow="0" w:firstColumn="1" w:lastColumn="0" w:noHBand="0" w:noVBand="1"/>
      </w:tblPr>
      <w:tblGrid>
        <w:gridCol w:w="2160"/>
        <w:gridCol w:w="7128"/>
      </w:tblGrid>
      <w:tr w:rsidR="00C463BC" w14:paraId="7125F8A2" w14:textId="77777777" w:rsidTr="00F55E72">
        <w:tc>
          <w:tcPr>
            <w:tcW w:w="2160" w:type="dxa"/>
            <w:tcBorders>
              <w:top w:val="single" w:sz="12" w:space="0" w:color="auto"/>
            </w:tcBorders>
            <w:shd w:val="clear" w:color="auto" w:fill="auto"/>
            <w:tcMar>
              <w:top w:w="115" w:type="dxa"/>
              <w:left w:w="115" w:type="dxa"/>
              <w:right w:w="115" w:type="dxa"/>
            </w:tcMar>
          </w:tcPr>
          <w:p w14:paraId="7125F89F" w14:textId="77777777" w:rsidR="00C463BC" w:rsidRPr="0030484B" w:rsidRDefault="00C463BC" w:rsidP="00F55E72">
            <w:pPr>
              <w:rPr>
                <w:b/>
              </w:rPr>
            </w:pPr>
            <w:r w:rsidRPr="0030484B">
              <w:rPr>
                <w:b/>
              </w:rPr>
              <w:t>Title:</w:t>
            </w:r>
          </w:p>
          <w:p w14:paraId="7125F8A0" w14:textId="77777777" w:rsidR="00C463BC" w:rsidRPr="0030484B" w:rsidRDefault="00C463BC" w:rsidP="00F55E72">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7125F8A1" w14:textId="77777777" w:rsidR="00C463BC" w:rsidRPr="002E7053" w:rsidRDefault="00C463BC" w:rsidP="00F55E72">
            <w:r w:rsidRPr="0030484B">
              <w:rPr>
                <w:szCs w:val="40"/>
              </w:rPr>
              <w:fldChar w:fldCharType="begin"/>
            </w:r>
            <w:r>
              <w:rPr>
                <w:szCs w:val="40"/>
              </w:rPr>
              <w:instrText>DOCPROPERTY  CommitteeName  \* MERGEFORMAT</w:instrText>
            </w:r>
            <w:r w:rsidRPr="0030484B">
              <w:rPr>
                <w:szCs w:val="40"/>
              </w:rPr>
              <w:fldChar w:fldCharType="separate"/>
            </w:r>
            <w:r>
              <w:rPr>
                <w:szCs w:val="40"/>
              </w:rPr>
              <w:t>European &amp; International</w:t>
            </w:r>
            <w:r w:rsidRPr="0030484B">
              <w:rPr>
                <w:szCs w:val="40"/>
              </w:rPr>
              <w:fldChar w:fldCharType="end"/>
            </w:r>
          </w:p>
        </w:tc>
      </w:tr>
      <w:tr w:rsidR="00C463BC" w14:paraId="7125F8A6" w14:textId="77777777" w:rsidTr="00F55E72">
        <w:tc>
          <w:tcPr>
            <w:tcW w:w="2160" w:type="dxa"/>
            <w:shd w:val="clear" w:color="auto" w:fill="auto"/>
          </w:tcPr>
          <w:p w14:paraId="7125F8A3" w14:textId="77777777" w:rsidR="00C463BC" w:rsidRPr="0030484B" w:rsidRDefault="00C463BC" w:rsidP="00F55E72">
            <w:pPr>
              <w:rPr>
                <w:b/>
              </w:rPr>
            </w:pPr>
            <w:r w:rsidRPr="0030484B">
              <w:rPr>
                <w:b/>
              </w:rPr>
              <w:t>Date:</w:t>
            </w:r>
          </w:p>
          <w:p w14:paraId="7125F8A4" w14:textId="77777777" w:rsidR="00C463BC" w:rsidRPr="0030484B" w:rsidRDefault="00C463BC" w:rsidP="00F55E72">
            <w:pPr>
              <w:rPr>
                <w:b/>
                <w:sz w:val="16"/>
                <w:szCs w:val="16"/>
              </w:rPr>
            </w:pPr>
          </w:p>
        </w:tc>
        <w:tc>
          <w:tcPr>
            <w:tcW w:w="7128" w:type="dxa"/>
            <w:shd w:val="clear" w:color="auto" w:fill="auto"/>
          </w:tcPr>
          <w:p w14:paraId="7125F8A5" w14:textId="77777777" w:rsidR="00C463BC" w:rsidRPr="002E7053" w:rsidRDefault="00C463BC" w:rsidP="00F55E72">
            <w:r w:rsidRPr="0030484B">
              <w:rPr>
                <w:szCs w:val="24"/>
              </w:rPr>
              <w:fldChar w:fldCharType="begin"/>
            </w:r>
            <w:r>
              <w:rPr>
                <w:szCs w:val="24"/>
              </w:rPr>
              <w:instrText>DOCPROPERTY  MeetingDate \@ "dddd d MMMM yyyy" \* MERGEFORMAT</w:instrText>
            </w:r>
            <w:r w:rsidRPr="0030484B">
              <w:rPr>
                <w:szCs w:val="24"/>
              </w:rPr>
              <w:fldChar w:fldCharType="separate"/>
            </w:r>
            <w:r>
              <w:rPr>
                <w:szCs w:val="24"/>
              </w:rPr>
              <w:t>Tuesday 10 December 2013</w:t>
            </w:r>
            <w:r w:rsidRPr="0030484B">
              <w:rPr>
                <w:szCs w:val="24"/>
              </w:rPr>
              <w:fldChar w:fldCharType="end"/>
            </w:r>
          </w:p>
        </w:tc>
      </w:tr>
      <w:tr w:rsidR="00C463BC" w14:paraId="7125F8A9" w14:textId="77777777" w:rsidTr="00F55E72">
        <w:tc>
          <w:tcPr>
            <w:tcW w:w="2160" w:type="dxa"/>
            <w:shd w:val="clear" w:color="auto" w:fill="auto"/>
          </w:tcPr>
          <w:p w14:paraId="7125F8A7" w14:textId="77777777" w:rsidR="00C463BC" w:rsidRPr="0030484B" w:rsidRDefault="00C463BC" w:rsidP="00F55E72">
            <w:pPr>
              <w:rPr>
                <w:b/>
              </w:rPr>
            </w:pPr>
            <w:r w:rsidRPr="0030484B">
              <w:rPr>
                <w:b/>
              </w:rPr>
              <w:t>Venue:</w:t>
            </w:r>
          </w:p>
        </w:tc>
        <w:tc>
          <w:tcPr>
            <w:tcW w:w="7128" w:type="dxa"/>
            <w:shd w:val="clear" w:color="auto" w:fill="auto"/>
          </w:tcPr>
          <w:p w14:paraId="7125F8A8" w14:textId="77777777" w:rsidR="00C463BC" w:rsidRPr="002E7053" w:rsidRDefault="00C463BC" w:rsidP="00F55E72">
            <w:r w:rsidRPr="0030484B">
              <w:rPr>
                <w:szCs w:val="24"/>
              </w:rPr>
              <w:fldChar w:fldCharType="begin"/>
            </w:r>
            <w:r>
              <w:rPr>
                <w:szCs w:val="24"/>
              </w:rPr>
              <w:instrText>DOCPROPERTY  MeetingLocation \* MERGEFORMAT</w:instrText>
            </w:r>
            <w:r w:rsidRPr="0030484B">
              <w:rPr>
                <w:szCs w:val="24"/>
              </w:rPr>
              <w:fldChar w:fldCharType="separate"/>
            </w:r>
            <w:r>
              <w:rPr>
                <w:szCs w:val="24"/>
              </w:rPr>
              <w:t xml:space="preserve">County Hall, </w:t>
            </w:r>
            <w:proofErr w:type="spellStart"/>
            <w:r>
              <w:rPr>
                <w:szCs w:val="24"/>
              </w:rPr>
              <w:t>Spetchley</w:t>
            </w:r>
            <w:proofErr w:type="spellEnd"/>
            <w:r>
              <w:rPr>
                <w:szCs w:val="24"/>
              </w:rPr>
              <w:t xml:space="preserve"> Road, Worcester, WR5 2NP</w:t>
            </w:r>
            <w:r w:rsidRPr="0030484B">
              <w:rPr>
                <w:szCs w:val="24"/>
              </w:rPr>
              <w:fldChar w:fldCharType="end"/>
            </w:r>
          </w:p>
        </w:tc>
      </w:tr>
      <w:tr w:rsidR="00C463BC" w:rsidRPr="0030484B" w14:paraId="7125F8AC" w14:textId="77777777" w:rsidTr="00F55E72">
        <w:tc>
          <w:tcPr>
            <w:tcW w:w="2160" w:type="dxa"/>
            <w:tcBorders>
              <w:bottom w:val="single" w:sz="12" w:space="0" w:color="auto"/>
            </w:tcBorders>
            <w:shd w:val="clear" w:color="auto" w:fill="auto"/>
          </w:tcPr>
          <w:p w14:paraId="7125F8AA" w14:textId="77777777" w:rsidR="00C463BC" w:rsidRPr="0030484B" w:rsidRDefault="00C463BC" w:rsidP="00F55E72">
            <w:pPr>
              <w:rPr>
                <w:b/>
                <w:sz w:val="12"/>
                <w:szCs w:val="12"/>
              </w:rPr>
            </w:pPr>
          </w:p>
        </w:tc>
        <w:tc>
          <w:tcPr>
            <w:tcW w:w="7128" w:type="dxa"/>
            <w:tcBorders>
              <w:bottom w:val="single" w:sz="12" w:space="0" w:color="auto"/>
            </w:tcBorders>
            <w:shd w:val="clear" w:color="auto" w:fill="auto"/>
          </w:tcPr>
          <w:p w14:paraId="7125F8AB" w14:textId="77777777" w:rsidR="00C463BC" w:rsidRPr="0030484B" w:rsidRDefault="00C463BC" w:rsidP="00F55E72">
            <w:pPr>
              <w:rPr>
                <w:sz w:val="12"/>
                <w:szCs w:val="12"/>
              </w:rPr>
            </w:pPr>
          </w:p>
        </w:tc>
      </w:tr>
    </w:tbl>
    <w:p w14:paraId="7125F8AD" w14:textId="77777777" w:rsidR="00C463BC" w:rsidRPr="002E7053" w:rsidRDefault="00C463BC" w:rsidP="00C463BC"/>
    <w:p w14:paraId="7125F8AE" w14:textId="77777777" w:rsidR="00C463BC" w:rsidRPr="002E7053" w:rsidRDefault="00C463BC" w:rsidP="00C463BC">
      <w:pPr>
        <w:ind w:left="-720"/>
        <w:rPr>
          <w:b/>
        </w:rPr>
      </w:pPr>
      <w:r w:rsidRPr="002E7053">
        <w:rPr>
          <w:b/>
        </w:rPr>
        <w:t xml:space="preserve">Attendance </w:t>
      </w:r>
    </w:p>
    <w:p w14:paraId="7125F8AF" w14:textId="77777777" w:rsidR="00C463BC" w:rsidRDefault="00C463BC" w:rsidP="00C463BC"/>
    <w:tbl>
      <w:tblPr>
        <w:tblW w:w="10263" w:type="dxa"/>
        <w:tblInd w:w="-720" w:type="dxa"/>
        <w:tblLayout w:type="fixed"/>
        <w:tblLook w:val="04A0" w:firstRow="1" w:lastRow="0" w:firstColumn="1" w:lastColumn="0" w:noHBand="0" w:noVBand="1"/>
      </w:tblPr>
      <w:tblGrid>
        <w:gridCol w:w="2671"/>
        <w:gridCol w:w="2552"/>
        <w:gridCol w:w="5040"/>
      </w:tblGrid>
      <w:tr w:rsidR="00C463BC" w14:paraId="7125F8B3" w14:textId="77777777" w:rsidTr="00F55E72">
        <w:tc>
          <w:tcPr>
            <w:tcW w:w="2671" w:type="dxa"/>
            <w:shd w:val="clear" w:color="auto" w:fill="BFBFBF"/>
          </w:tcPr>
          <w:p w14:paraId="7125F8B0" w14:textId="77777777" w:rsidR="00C463BC" w:rsidRDefault="00C463BC" w:rsidP="00F55E72">
            <w:pPr>
              <w:jc w:val="both"/>
            </w:pPr>
            <w:r>
              <w:t>Councillor</w:t>
            </w:r>
          </w:p>
        </w:tc>
        <w:tc>
          <w:tcPr>
            <w:tcW w:w="2552" w:type="dxa"/>
            <w:shd w:val="clear" w:color="auto" w:fill="BFBFBF"/>
          </w:tcPr>
          <w:p w14:paraId="7125F8B1" w14:textId="77777777" w:rsidR="00C463BC" w:rsidRDefault="00C463BC" w:rsidP="00F55E72">
            <w:pPr>
              <w:jc w:val="both"/>
            </w:pPr>
          </w:p>
        </w:tc>
        <w:tc>
          <w:tcPr>
            <w:tcW w:w="5040" w:type="dxa"/>
            <w:shd w:val="clear" w:color="auto" w:fill="BFBFBF"/>
          </w:tcPr>
          <w:p w14:paraId="7125F8B2" w14:textId="77777777" w:rsidR="00C463BC" w:rsidRDefault="00C463BC" w:rsidP="00F55E72">
            <w:pPr>
              <w:jc w:val="both"/>
            </w:pPr>
            <w:r>
              <w:t>Council</w:t>
            </w:r>
          </w:p>
        </w:tc>
      </w:tr>
      <w:tr w:rsidR="00C463BC" w14:paraId="7125F8B7" w14:textId="77777777" w:rsidTr="00F55E72">
        <w:tc>
          <w:tcPr>
            <w:tcW w:w="2671" w:type="dxa"/>
            <w:shd w:val="clear" w:color="auto" w:fill="auto"/>
          </w:tcPr>
          <w:p w14:paraId="7125F8B4" w14:textId="77777777" w:rsidR="00C463BC" w:rsidRDefault="00C463BC" w:rsidP="00F55E72">
            <w:pPr>
              <w:jc w:val="both"/>
            </w:pPr>
          </w:p>
        </w:tc>
        <w:tc>
          <w:tcPr>
            <w:tcW w:w="2552" w:type="dxa"/>
            <w:shd w:val="clear" w:color="auto" w:fill="auto"/>
          </w:tcPr>
          <w:p w14:paraId="7125F8B5" w14:textId="77777777" w:rsidR="00C463BC" w:rsidRDefault="00C463BC" w:rsidP="00F55E72">
            <w:pPr>
              <w:jc w:val="both"/>
            </w:pPr>
          </w:p>
        </w:tc>
        <w:tc>
          <w:tcPr>
            <w:tcW w:w="5040" w:type="dxa"/>
            <w:shd w:val="clear" w:color="auto" w:fill="auto"/>
          </w:tcPr>
          <w:p w14:paraId="7125F8B6" w14:textId="77777777" w:rsidR="00C463BC" w:rsidRDefault="00C463BC" w:rsidP="00F55E72">
            <w:pPr>
              <w:jc w:val="both"/>
            </w:pPr>
          </w:p>
        </w:tc>
      </w:tr>
      <w:tr w:rsidR="00C463BC" w14:paraId="7125F8BE" w14:textId="77777777" w:rsidTr="00F55E72">
        <w:tc>
          <w:tcPr>
            <w:tcW w:w="5223" w:type="dxa"/>
            <w:gridSpan w:val="2"/>
            <w:shd w:val="clear" w:color="auto" w:fill="auto"/>
          </w:tcPr>
          <w:p w14:paraId="7125F8B8" w14:textId="77777777" w:rsidR="00C463BC" w:rsidRDefault="00C463BC" w:rsidP="00F55E72">
            <w:pPr>
              <w:jc w:val="both"/>
              <w:rPr>
                <w:rFonts w:cs="Arial"/>
                <w:szCs w:val="22"/>
              </w:rPr>
            </w:pPr>
            <w:r w:rsidRPr="00FC3459">
              <w:rPr>
                <w:rFonts w:cs="Arial"/>
                <w:szCs w:val="22"/>
              </w:rPr>
              <w:t>Clarence Barrett</w:t>
            </w:r>
            <w:r>
              <w:rPr>
                <w:rFonts w:cs="Arial"/>
                <w:szCs w:val="22"/>
              </w:rPr>
              <w:t xml:space="preserve"> (Chair)</w:t>
            </w:r>
          </w:p>
          <w:p w14:paraId="7125F8B9" w14:textId="77777777" w:rsidR="00C463BC" w:rsidRDefault="00C463BC" w:rsidP="00F55E72">
            <w:pPr>
              <w:jc w:val="both"/>
              <w:rPr>
                <w:rFonts w:cs="Arial"/>
                <w:szCs w:val="22"/>
                <w:lang w:val="fr-FR"/>
              </w:rPr>
            </w:pPr>
            <w:r w:rsidRPr="00FC3459">
              <w:rPr>
                <w:rFonts w:cs="Arial"/>
                <w:szCs w:val="22"/>
              </w:rPr>
              <w:t xml:space="preserve">Gr. </w:t>
            </w:r>
            <w:proofErr w:type="spellStart"/>
            <w:r w:rsidRPr="00FC3459">
              <w:rPr>
                <w:rFonts w:cs="Arial"/>
                <w:szCs w:val="22"/>
              </w:rPr>
              <w:t>Uff</w:t>
            </w:r>
            <w:proofErr w:type="spellEnd"/>
            <w:r w:rsidRPr="00FC3459">
              <w:rPr>
                <w:rFonts w:cs="Arial"/>
                <w:szCs w:val="22"/>
              </w:rPr>
              <w:t xml:space="preserve">. </w:t>
            </w:r>
            <w:r w:rsidRPr="00FC3459">
              <w:rPr>
                <w:rFonts w:cs="Arial"/>
                <w:szCs w:val="22"/>
                <w:lang w:val="fr-FR"/>
              </w:rPr>
              <w:t xml:space="preserve">Marco </w:t>
            </w:r>
            <w:proofErr w:type="spellStart"/>
            <w:r w:rsidRPr="00FC3459">
              <w:rPr>
                <w:rFonts w:cs="Arial"/>
                <w:szCs w:val="22"/>
                <w:lang w:val="fr-FR"/>
              </w:rPr>
              <w:t>Cereste</w:t>
            </w:r>
            <w:proofErr w:type="spellEnd"/>
            <w:r w:rsidRPr="00FC3459">
              <w:rPr>
                <w:rFonts w:cs="Arial"/>
                <w:szCs w:val="22"/>
                <w:lang w:val="fr-FR"/>
              </w:rPr>
              <w:t xml:space="preserve"> OSSI OMRI </w:t>
            </w:r>
            <w:r>
              <w:rPr>
                <w:rFonts w:cs="Arial"/>
                <w:szCs w:val="22"/>
                <w:lang w:val="fr-FR"/>
              </w:rPr>
              <w:t>(Vice Chair)</w:t>
            </w:r>
          </w:p>
          <w:p w14:paraId="7125F8BA" w14:textId="77777777" w:rsidR="00C463BC" w:rsidRPr="006F09C4" w:rsidRDefault="00C463BC" w:rsidP="00F55E72">
            <w:pPr>
              <w:jc w:val="both"/>
              <w:rPr>
                <w:rFonts w:cs="Arial"/>
                <w:szCs w:val="22"/>
              </w:rPr>
            </w:pPr>
            <w:r w:rsidRPr="00FC3459">
              <w:rPr>
                <w:rFonts w:cs="Arial"/>
                <w:szCs w:val="22"/>
              </w:rPr>
              <w:t>Richard Kemp CBE</w:t>
            </w:r>
            <w:r>
              <w:rPr>
                <w:rFonts w:cs="Arial"/>
                <w:szCs w:val="22"/>
              </w:rPr>
              <w:t xml:space="preserve"> (Deputy Chair)</w:t>
            </w:r>
            <w:r w:rsidRPr="009D4437">
              <w:rPr>
                <w:vanish/>
              </w:rPr>
              <w:fldChar w:fldCharType="begin"/>
            </w:r>
            <w:r>
              <w:rPr>
                <w:vanish/>
              </w:rPr>
              <w:instrText xml:space="preserve">DOCVARIABLE "ChairPresentRolesRepresentingCells"  \* MERGEFORMAT </w:instrText>
            </w:r>
            <w:r w:rsidRPr="009D4437">
              <w:rPr>
                <w:vanish/>
              </w:rPr>
              <w:fldChar w:fldCharType="separate"/>
            </w:r>
            <w:r>
              <w:rPr>
                <w:vanish/>
              </w:rPr>
              <w:t xml:space="preserve"> </w:t>
            </w:r>
            <w:r w:rsidRPr="009D4437">
              <w:rPr>
                <w:vanish/>
              </w:rPr>
              <w:fldChar w:fldCharType="end"/>
            </w:r>
          </w:p>
        </w:tc>
        <w:tc>
          <w:tcPr>
            <w:tcW w:w="5040" w:type="dxa"/>
            <w:shd w:val="clear" w:color="auto" w:fill="auto"/>
          </w:tcPr>
          <w:p w14:paraId="7125F8BB" w14:textId="77777777" w:rsidR="00C463BC" w:rsidRDefault="00C463BC" w:rsidP="00F55E72">
            <w:pPr>
              <w:jc w:val="both"/>
            </w:pPr>
            <w:r w:rsidRPr="00FC3459">
              <w:rPr>
                <w:rFonts w:cs="Arial"/>
                <w:szCs w:val="22"/>
              </w:rPr>
              <w:t>Havering LB</w:t>
            </w:r>
          </w:p>
          <w:p w14:paraId="7125F8BC" w14:textId="77777777" w:rsidR="00C463BC" w:rsidRDefault="00C463BC" w:rsidP="00F55E72">
            <w:pPr>
              <w:jc w:val="both"/>
            </w:pPr>
            <w:r>
              <w:t>Peterborough City</w:t>
            </w:r>
          </w:p>
          <w:p w14:paraId="7125F8BD" w14:textId="77777777" w:rsidR="00C463BC" w:rsidRPr="006F09C4" w:rsidRDefault="00C463BC" w:rsidP="00F55E72">
            <w:pPr>
              <w:jc w:val="both"/>
              <w:rPr>
                <w:rFonts w:cs="Arial"/>
                <w:szCs w:val="22"/>
              </w:rPr>
            </w:pPr>
            <w:r>
              <w:rPr>
                <w:rFonts w:cs="Arial"/>
                <w:szCs w:val="22"/>
              </w:rPr>
              <w:t>Liverpool City</w:t>
            </w:r>
          </w:p>
        </w:tc>
      </w:tr>
    </w:tbl>
    <w:p w14:paraId="7125F8BF" w14:textId="77777777" w:rsidR="00C463BC" w:rsidRPr="002E7053" w:rsidRDefault="00C463BC" w:rsidP="00C463BC">
      <w:pPr>
        <w:rPr>
          <w:vanish/>
        </w:rPr>
      </w:pPr>
    </w:p>
    <w:tbl>
      <w:tblPr>
        <w:tblW w:w="10263" w:type="dxa"/>
        <w:tblInd w:w="-720" w:type="dxa"/>
        <w:tblLayout w:type="fixed"/>
        <w:tblLook w:val="04A0" w:firstRow="1" w:lastRow="0" w:firstColumn="1" w:lastColumn="0" w:noHBand="0" w:noVBand="1"/>
      </w:tblPr>
      <w:tblGrid>
        <w:gridCol w:w="5223"/>
        <w:gridCol w:w="5040"/>
      </w:tblGrid>
      <w:tr w:rsidR="00C463BC" w14:paraId="7125F8C2" w14:textId="77777777" w:rsidTr="00F55E72">
        <w:tc>
          <w:tcPr>
            <w:tcW w:w="5223" w:type="dxa"/>
            <w:shd w:val="clear" w:color="auto" w:fill="auto"/>
          </w:tcPr>
          <w:p w14:paraId="7125F8C0" w14:textId="77777777" w:rsidR="00C463BC" w:rsidRPr="00F978CB" w:rsidRDefault="00C463BC" w:rsidP="00F55E72">
            <w:pPr>
              <w:jc w:val="both"/>
              <w:rPr>
                <w:rFonts w:cs="Arial"/>
                <w:szCs w:val="22"/>
              </w:rPr>
            </w:pPr>
            <w:r w:rsidRPr="00FC3459">
              <w:rPr>
                <w:rFonts w:cs="Arial"/>
                <w:szCs w:val="22"/>
              </w:rPr>
              <w:t>Neil Clarke</w:t>
            </w:r>
          </w:p>
        </w:tc>
        <w:tc>
          <w:tcPr>
            <w:tcW w:w="5040" w:type="dxa"/>
            <w:shd w:val="clear" w:color="auto" w:fill="auto"/>
          </w:tcPr>
          <w:p w14:paraId="7125F8C1" w14:textId="77777777" w:rsidR="00C463BC" w:rsidRPr="00F978CB" w:rsidRDefault="00C463BC" w:rsidP="00F55E72">
            <w:pPr>
              <w:jc w:val="both"/>
              <w:rPr>
                <w:rFonts w:cs="Arial"/>
                <w:szCs w:val="22"/>
              </w:rPr>
            </w:pPr>
            <w:r w:rsidRPr="00FC3459">
              <w:rPr>
                <w:rFonts w:cs="Arial"/>
                <w:szCs w:val="22"/>
              </w:rPr>
              <w:t>Rushcliffe BC</w:t>
            </w:r>
          </w:p>
        </w:tc>
      </w:tr>
      <w:tr w:rsidR="00C463BC" w14:paraId="7125F8D5" w14:textId="77777777" w:rsidTr="00F55E72">
        <w:tc>
          <w:tcPr>
            <w:tcW w:w="5223" w:type="dxa"/>
            <w:shd w:val="clear" w:color="auto" w:fill="auto"/>
          </w:tcPr>
          <w:p w14:paraId="7125F8C3" w14:textId="77777777" w:rsidR="00C463BC" w:rsidRDefault="00C463BC" w:rsidP="00F55E72">
            <w:pPr>
              <w:jc w:val="both"/>
              <w:rPr>
                <w:rFonts w:cs="Arial"/>
                <w:szCs w:val="22"/>
              </w:rPr>
            </w:pPr>
            <w:r w:rsidRPr="00FC3459">
              <w:rPr>
                <w:rFonts w:cs="Arial"/>
                <w:szCs w:val="22"/>
              </w:rPr>
              <w:t>Alan Melton</w:t>
            </w:r>
          </w:p>
          <w:p w14:paraId="7125F8C4" w14:textId="77777777" w:rsidR="00C463BC" w:rsidRDefault="00C463BC" w:rsidP="00F55E72">
            <w:pPr>
              <w:jc w:val="both"/>
              <w:rPr>
                <w:rFonts w:cs="Arial"/>
                <w:szCs w:val="22"/>
              </w:rPr>
            </w:pPr>
            <w:r>
              <w:rPr>
                <w:rFonts w:cs="Arial"/>
                <w:szCs w:val="22"/>
              </w:rPr>
              <w:t>Liz Eyre</w:t>
            </w:r>
          </w:p>
          <w:p w14:paraId="7125F8C5" w14:textId="644B1700" w:rsidR="00C463BC" w:rsidRDefault="00C463BC" w:rsidP="00FA2756">
            <w:pPr>
              <w:tabs>
                <w:tab w:val="left" w:pos="4234"/>
              </w:tabs>
              <w:jc w:val="both"/>
              <w:rPr>
                <w:rFonts w:cs="Arial"/>
                <w:szCs w:val="22"/>
              </w:rPr>
            </w:pPr>
            <w:r w:rsidRPr="00FC3459">
              <w:rPr>
                <w:rFonts w:cs="Arial"/>
                <w:szCs w:val="22"/>
              </w:rPr>
              <w:t>Judith Wallace</w:t>
            </w:r>
            <w:r w:rsidR="00FA2756">
              <w:rPr>
                <w:rFonts w:cs="Arial"/>
                <w:szCs w:val="22"/>
              </w:rPr>
              <w:tab/>
            </w:r>
          </w:p>
          <w:p w14:paraId="7125F8C6" w14:textId="77777777" w:rsidR="00C463BC" w:rsidRDefault="00C463BC" w:rsidP="00F55E72">
            <w:pPr>
              <w:jc w:val="both"/>
              <w:rPr>
                <w:rFonts w:cs="Arial"/>
                <w:szCs w:val="22"/>
              </w:rPr>
            </w:pPr>
            <w:r>
              <w:rPr>
                <w:rFonts w:cs="Arial"/>
                <w:szCs w:val="22"/>
              </w:rPr>
              <w:t>Chris Shaw</w:t>
            </w:r>
          </w:p>
          <w:p w14:paraId="7125F8C7" w14:textId="77777777" w:rsidR="00C463BC" w:rsidRDefault="00C463BC" w:rsidP="00F55E72">
            <w:pPr>
              <w:jc w:val="both"/>
              <w:rPr>
                <w:rFonts w:cs="Arial"/>
                <w:szCs w:val="22"/>
              </w:rPr>
            </w:pPr>
            <w:r w:rsidRPr="00FC3459">
              <w:rPr>
                <w:rFonts w:cs="Arial"/>
                <w:szCs w:val="22"/>
              </w:rPr>
              <w:t>Sir Albert Bore</w:t>
            </w:r>
          </w:p>
          <w:p w14:paraId="7125F8C8" w14:textId="77777777" w:rsidR="00C463BC" w:rsidRDefault="00C463BC" w:rsidP="00F55E72">
            <w:pPr>
              <w:jc w:val="both"/>
              <w:rPr>
                <w:rFonts w:cs="Arial"/>
                <w:szCs w:val="22"/>
              </w:rPr>
            </w:pPr>
            <w:r w:rsidRPr="00FC3459">
              <w:rPr>
                <w:rFonts w:cs="Arial"/>
                <w:szCs w:val="22"/>
              </w:rPr>
              <w:t xml:space="preserve">Aaron </w:t>
            </w:r>
            <w:proofErr w:type="spellStart"/>
            <w:r w:rsidRPr="00FC3459">
              <w:rPr>
                <w:rFonts w:cs="Arial"/>
                <w:szCs w:val="22"/>
              </w:rPr>
              <w:t>Shotton</w:t>
            </w:r>
            <w:proofErr w:type="spellEnd"/>
          </w:p>
          <w:p w14:paraId="7125F8C9" w14:textId="77777777" w:rsidR="00C463BC" w:rsidRDefault="00C463BC" w:rsidP="00F55E72">
            <w:pPr>
              <w:jc w:val="both"/>
              <w:rPr>
                <w:rFonts w:cs="Arial"/>
                <w:szCs w:val="22"/>
              </w:rPr>
            </w:pPr>
            <w:r w:rsidRPr="00FC3459">
              <w:rPr>
                <w:rFonts w:cs="Arial"/>
                <w:szCs w:val="22"/>
              </w:rPr>
              <w:t>Roger Lawrence</w:t>
            </w:r>
          </w:p>
          <w:p w14:paraId="7125F8CA" w14:textId="77777777" w:rsidR="00C463BC" w:rsidRDefault="00C463BC" w:rsidP="00F55E72">
            <w:pPr>
              <w:jc w:val="both"/>
              <w:rPr>
                <w:rFonts w:cs="Arial"/>
                <w:szCs w:val="22"/>
              </w:rPr>
            </w:pPr>
            <w:r w:rsidRPr="00FC3459">
              <w:rPr>
                <w:rFonts w:cs="Arial"/>
                <w:szCs w:val="22"/>
              </w:rPr>
              <w:t>Dave Allan</w:t>
            </w:r>
          </w:p>
          <w:p w14:paraId="7125F8CB" w14:textId="77777777" w:rsidR="00C463BC" w:rsidRPr="00FC3459" w:rsidRDefault="00C463BC" w:rsidP="00F55E72">
            <w:pPr>
              <w:jc w:val="both"/>
              <w:rPr>
                <w:rFonts w:cs="Arial"/>
                <w:szCs w:val="22"/>
              </w:rPr>
            </w:pPr>
            <w:r w:rsidRPr="00FC3459">
              <w:rPr>
                <w:rFonts w:cs="Arial"/>
                <w:szCs w:val="22"/>
              </w:rPr>
              <w:t>Paul Crossley</w:t>
            </w:r>
          </w:p>
        </w:tc>
        <w:tc>
          <w:tcPr>
            <w:tcW w:w="5040" w:type="dxa"/>
            <w:shd w:val="clear" w:color="auto" w:fill="auto"/>
          </w:tcPr>
          <w:p w14:paraId="7125F8CC" w14:textId="77777777" w:rsidR="00C463BC" w:rsidRDefault="00C463BC" w:rsidP="00F55E72">
            <w:pPr>
              <w:jc w:val="both"/>
              <w:rPr>
                <w:rFonts w:cs="Arial"/>
                <w:szCs w:val="22"/>
              </w:rPr>
            </w:pPr>
            <w:r w:rsidRPr="00FC3459">
              <w:rPr>
                <w:rFonts w:cs="Arial"/>
                <w:szCs w:val="22"/>
              </w:rPr>
              <w:t>Fenland DC</w:t>
            </w:r>
          </w:p>
          <w:p w14:paraId="7125F8CD" w14:textId="77777777" w:rsidR="00C463BC" w:rsidRDefault="00C463BC" w:rsidP="00F55E72">
            <w:pPr>
              <w:jc w:val="both"/>
              <w:rPr>
                <w:rFonts w:cs="Arial"/>
                <w:szCs w:val="22"/>
              </w:rPr>
            </w:pPr>
            <w:r w:rsidRPr="00FC3459">
              <w:rPr>
                <w:rFonts w:cs="Arial"/>
                <w:szCs w:val="22"/>
              </w:rPr>
              <w:t>Worcestershire CC</w:t>
            </w:r>
          </w:p>
          <w:p w14:paraId="7125F8CE" w14:textId="77777777" w:rsidR="00C463BC" w:rsidRDefault="00C463BC" w:rsidP="00F55E72">
            <w:pPr>
              <w:jc w:val="both"/>
              <w:rPr>
                <w:rFonts w:cs="Arial"/>
                <w:szCs w:val="22"/>
              </w:rPr>
            </w:pPr>
            <w:r w:rsidRPr="00FC3459">
              <w:rPr>
                <w:rFonts w:cs="Arial"/>
                <w:szCs w:val="22"/>
              </w:rPr>
              <w:t>North Tyneside</w:t>
            </w:r>
            <w:r>
              <w:rPr>
                <w:rFonts w:cs="Arial"/>
                <w:szCs w:val="22"/>
              </w:rPr>
              <w:t xml:space="preserve"> MBC</w:t>
            </w:r>
          </w:p>
          <w:p w14:paraId="7125F8CF" w14:textId="77777777" w:rsidR="00C463BC" w:rsidRDefault="00C463BC" w:rsidP="00F55E72">
            <w:pPr>
              <w:jc w:val="both"/>
              <w:rPr>
                <w:rFonts w:cs="Arial"/>
                <w:szCs w:val="22"/>
              </w:rPr>
            </w:pPr>
            <w:r w:rsidRPr="00FC3459">
              <w:rPr>
                <w:rFonts w:cs="Arial"/>
                <w:szCs w:val="22"/>
              </w:rPr>
              <w:t xml:space="preserve">North East Lincolnshire </w:t>
            </w:r>
            <w:r>
              <w:rPr>
                <w:rFonts w:cs="Arial"/>
                <w:szCs w:val="22"/>
              </w:rPr>
              <w:t>Council</w:t>
            </w:r>
          </w:p>
          <w:p w14:paraId="7125F8D0" w14:textId="77777777" w:rsidR="00C463BC" w:rsidRDefault="00C463BC" w:rsidP="00F55E72">
            <w:pPr>
              <w:jc w:val="both"/>
              <w:rPr>
                <w:rFonts w:cs="Arial"/>
                <w:szCs w:val="22"/>
              </w:rPr>
            </w:pPr>
            <w:r>
              <w:rPr>
                <w:rFonts w:cs="Arial"/>
                <w:szCs w:val="22"/>
              </w:rPr>
              <w:t>Birmingham City</w:t>
            </w:r>
          </w:p>
          <w:p w14:paraId="7125F8D1" w14:textId="77777777" w:rsidR="00C463BC" w:rsidRDefault="00C463BC" w:rsidP="00F55E72">
            <w:pPr>
              <w:jc w:val="both"/>
              <w:rPr>
                <w:rFonts w:cs="Arial"/>
                <w:szCs w:val="22"/>
              </w:rPr>
            </w:pPr>
            <w:r w:rsidRPr="00FC3459">
              <w:rPr>
                <w:rFonts w:cs="Arial"/>
                <w:szCs w:val="22"/>
              </w:rPr>
              <w:t>Flintshire CC</w:t>
            </w:r>
          </w:p>
          <w:p w14:paraId="7125F8D2" w14:textId="77777777" w:rsidR="00C463BC" w:rsidRDefault="00C463BC" w:rsidP="00F55E72">
            <w:pPr>
              <w:jc w:val="both"/>
              <w:rPr>
                <w:rFonts w:cs="Arial"/>
                <w:szCs w:val="22"/>
              </w:rPr>
            </w:pPr>
            <w:r w:rsidRPr="00FC3459">
              <w:rPr>
                <w:rFonts w:cs="Arial"/>
                <w:szCs w:val="22"/>
              </w:rPr>
              <w:t>Wolverhampton City</w:t>
            </w:r>
          </w:p>
          <w:p w14:paraId="7125F8D3" w14:textId="77777777" w:rsidR="00C463BC" w:rsidRDefault="00C463BC" w:rsidP="00F55E72">
            <w:pPr>
              <w:jc w:val="both"/>
              <w:rPr>
                <w:rFonts w:cs="Arial"/>
                <w:szCs w:val="22"/>
              </w:rPr>
            </w:pPr>
            <w:r>
              <w:rPr>
                <w:rFonts w:cs="Arial"/>
                <w:szCs w:val="22"/>
              </w:rPr>
              <w:t xml:space="preserve">Sunderland City Council </w:t>
            </w:r>
          </w:p>
          <w:p w14:paraId="7125F8D4" w14:textId="77777777" w:rsidR="00C463BC" w:rsidRPr="00FC3459" w:rsidRDefault="00C463BC" w:rsidP="00F55E72">
            <w:pPr>
              <w:jc w:val="both"/>
              <w:rPr>
                <w:rFonts w:cs="Arial"/>
                <w:szCs w:val="22"/>
              </w:rPr>
            </w:pPr>
            <w:r w:rsidRPr="00FC3459">
              <w:rPr>
                <w:rFonts w:cs="Arial"/>
                <w:szCs w:val="22"/>
              </w:rPr>
              <w:t xml:space="preserve">Bath &amp; North East Somerset </w:t>
            </w:r>
            <w:r>
              <w:rPr>
                <w:rFonts w:cs="Arial"/>
                <w:szCs w:val="22"/>
              </w:rPr>
              <w:t>Council</w:t>
            </w:r>
          </w:p>
        </w:tc>
      </w:tr>
    </w:tbl>
    <w:p w14:paraId="7125F8D6" w14:textId="77777777" w:rsidR="00C463BC" w:rsidRDefault="00C463BC" w:rsidP="00C463BC"/>
    <w:tbl>
      <w:tblPr>
        <w:tblW w:w="10213" w:type="dxa"/>
        <w:tblInd w:w="-720" w:type="dxa"/>
        <w:tblLayout w:type="fixed"/>
        <w:tblLook w:val="04A0" w:firstRow="1" w:lastRow="0" w:firstColumn="1" w:lastColumn="0" w:noHBand="0" w:noVBand="1"/>
      </w:tblPr>
      <w:tblGrid>
        <w:gridCol w:w="3663"/>
        <w:gridCol w:w="1560"/>
        <w:gridCol w:w="4990"/>
      </w:tblGrid>
      <w:tr w:rsidR="00C463BC" w14:paraId="7125F8DC" w14:textId="77777777" w:rsidTr="00F55E72">
        <w:tc>
          <w:tcPr>
            <w:tcW w:w="3663" w:type="dxa"/>
            <w:shd w:val="clear" w:color="auto" w:fill="auto"/>
          </w:tcPr>
          <w:p w14:paraId="7125F8D7" w14:textId="77777777" w:rsidR="00C463BC" w:rsidRDefault="00C463BC" w:rsidP="00F55E72">
            <w:pPr>
              <w:jc w:val="both"/>
            </w:pPr>
            <w:r w:rsidRPr="00F978CB">
              <w:rPr>
                <w:b/>
              </w:rPr>
              <w:t>Apologie</w:t>
            </w:r>
            <w:r>
              <w:t>s:</w:t>
            </w:r>
          </w:p>
          <w:p w14:paraId="7125F8D8" w14:textId="77777777" w:rsidR="00C463BC" w:rsidRDefault="00C463BC" w:rsidP="00F55E72">
            <w:pPr>
              <w:jc w:val="both"/>
            </w:pPr>
            <w:r w:rsidRPr="00FC3459">
              <w:rPr>
                <w:rFonts w:cs="Arial"/>
                <w:szCs w:val="22"/>
              </w:rPr>
              <w:t>Gordon Keymer CBE</w:t>
            </w:r>
          </w:p>
        </w:tc>
        <w:tc>
          <w:tcPr>
            <w:tcW w:w="1560" w:type="dxa"/>
            <w:shd w:val="clear" w:color="auto" w:fill="auto"/>
          </w:tcPr>
          <w:p w14:paraId="7125F8D9" w14:textId="77777777" w:rsidR="00C463BC" w:rsidRPr="009D4437" w:rsidRDefault="00C463BC" w:rsidP="00F55E72">
            <w:pPr>
              <w:jc w:val="both"/>
            </w:pPr>
            <w:r w:rsidRPr="009D4437">
              <w:rPr>
                <w:vanish/>
              </w:rPr>
              <w:fldChar w:fldCharType="begin"/>
            </w:r>
            <w:r>
              <w:rPr>
                <w:vanish/>
              </w:rPr>
              <w:instrText xml:space="preserve">DOCVARIABLE "MembersApologiesRepresentingCells"  \* MERGEFORMAT </w:instrText>
            </w:r>
            <w:r w:rsidRPr="009D4437">
              <w:rPr>
                <w:vanish/>
              </w:rPr>
              <w:fldChar w:fldCharType="separate"/>
            </w:r>
            <w:r>
              <w:rPr>
                <w:vanish/>
              </w:rPr>
              <w:t xml:space="preserve"> </w:t>
            </w:r>
            <w:r w:rsidRPr="009D4437">
              <w:rPr>
                <w:vanish/>
              </w:rPr>
              <w:fldChar w:fldCharType="end"/>
            </w:r>
          </w:p>
        </w:tc>
        <w:tc>
          <w:tcPr>
            <w:tcW w:w="4990" w:type="dxa"/>
            <w:shd w:val="clear" w:color="auto" w:fill="auto"/>
          </w:tcPr>
          <w:p w14:paraId="7125F8DA" w14:textId="77777777" w:rsidR="00C463BC" w:rsidRDefault="00C463BC" w:rsidP="00F55E72">
            <w:pPr>
              <w:jc w:val="both"/>
            </w:pPr>
          </w:p>
          <w:p w14:paraId="7125F8DB" w14:textId="77777777" w:rsidR="00C463BC" w:rsidRDefault="00C463BC" w:rsidP="00F55E72">
            <w:pPr>
              <w:jc w:val="both"/>
            </w:pPr>
            <w:proofErr w:type="spellStart"/>
            <w:r w:rsidRPr="00FC3459">
              <w:rPr>
                <w:rFonts w:cs="Arial"/>
                <w:szCs w:val="22"/>
              </w:rPr>
              <w:t>Tandridge</w:t>
            </w:r>
            <w:proofErr w:type="spellEnd"/>
            <w:r w:rsidRPr="00FC3459">
              <w:rPr>
                <w:rFonts w:cs="Arial"/>
                <w:szCs w:val="22"/>
              </w:rPr>
              <w:t xml:space="preserve"> DC</w:t>
            </w:r>
          </w:p>
        </w:tc>
      </w:tr>
      <w:tr w:rsidR="00C463BC" w14:paraId="7125F8EC" w14:textId="77777777" w:rsidTr="00F55E72">
        <w:tc>
          <w:tcPr>
            <w:tcW w:w="3663" w:type="dxa"/>
            <w:shd w:val="clear" w:color="auto" w:fill="auto"/>
          </w:tcPr>
          <w:p w14:paraId="7125F8DD" w14:textId="77777777" w:rsidR="00C463BC" w:rsidRDefault="00C463BC" w:rsidP="00F55E72">
            <w:pPr>
              <w:jc w:val="both"/>
              <w:rPr>
                <w:rFonts w:cs="Arial"/>
                <w:szCs w:val="22"/>
              </w:rPr>
            </w:pPr>
            <w:r w:rsidRPr="00FC3459">
              <w:rPr>
                <w:rFonts w:cs="Arial"/>
                <w:szCs w:val="22"/>
              </w:rPr>
              <w:t xml:space="preserve">Nick </w:t>
            </w:r>
            <w:proofErr w:type="spellStart"/>
            <w:r w:rsidRPr="00FC3459">
              <w:rPr>
                <w:rFonts w:cs="Arial"/>
                <w:szCs w:val="22"/>
              </w:rPr>
              <w:t>Daubney</w:t>
            </w:r>
            <w:proofErr w:type="spellEnd"/>
          </w:p>
          <w:p w14:paraId="7125F8DE" w14:textId="77777777" w:rsidR="00C463BC" w:rsidRDefault="00C463BC" w:rsidP="00F55E72">
            <w:pPr>
              <w:jc w:val="both"/>
              <w:rPr>
                <w:rFonts w:cs="Arial"/>
                <w:szCs w:val="22"/>
              </w:rPr>
            </w:pPr>
            <w:r w:rsidRPr="00FC3459">
              <w:rPr>
                <w:rFonts w:cs="Arial"/>
                <w:szCs w:val="22"/>
              </w:rPr>
              <w:t>Keith Glazier</w:t>
            </w:r>
          </w:p>
          <w:p w14:paraId="7125F8DF" w14:textId="77777777" w:rsidR="00C463BC" w:rsidRDefault="00C463BC" w:rsidP="00F55E72">
            <w:pPr>
              <w:jc w:val="both"/>
              <w:rPr>
                <w:rFonts w:cs="Arial"/>
                <w:szCs w:val="22"/>
              </w:rPr>
            </w:pPr>
            <w:r w:rsidRPr="00FC3459">
              <w:rPr>
                <w:rFonts w:cs="Arial"/>
                <w:szCs w:val="22"/>
              </w:rPr>
              <w:t>Sue Murphy</w:t>
            </w:r>
            <w:r>
              <w:rPr>
                <w:rFonts w:cs="Arial"/>
                <w:szCs w:val="22"/>
              </w:rPr>
              <w:t xml:space="preserve"> (Deputy Chair)</w:t>
            </w:r>
          </w:p>
          <w:p w14:paraId="7125F8E0" w14:textId="77777777" w:rsidR="00C463BC" w:rsidRDefault="00C463BC" w:rsidP="00F55E72">
            <w:pPr>
              <w:jc w:val="both"/>
              <w:rPr>
                <w:rFonts w:cs="Arial"/>
                <w:szCs w:val="22"/>
              </w:rPr>
            </w:pPr>
            <w:proofErr w:type="spellStart"/>
            <w:r w:rsidRPr="00FC3459">
              <w:rPr>
                <w:rFonts w:cs="Arial"/>
                <w:szCs w:val="22"/>
              </w:rPr>
              <w:t>Sherma</w:t>
            </w:r>
            <w:proofErr w:type="spellEnd"/>
            <w:r w:rsidRPr="00FC3459">
              <w:rPr>
                <w:rFonts w:cs="Arial"/>
                <w:szCs w:val="22"/>
              </w:rPr>
              <w:t xml:space="preserve"> Batson MBE DL</w:t>
            </w:r>
          </w:p>
          <w:p w14:paraId="7125F8E1" w14:textId="77777777" w:rsidR="00C463BC" w:rsidRDefault="00C463BC" w:rsidP="00F55E72">
            <w:pPr>
              <w:jc w:val="both"/>
              <w:rPr>
                <w:rFonts w:cs="Arial"/>
                <w:szCs w:val="22"/>
              </w:rPr>
            </w:pPr>
            <w:r w:rsidRPr="00FC3459">
              <w:rPr>
                <w:rFonts w:cs="Arial"/>
                <w:szCs w:val="22"/>
              </w:rPr>
              <w:t>John Kent</w:t>
            </w:r>
          </w:p>
          <w:p w14:paraId="7125F8E2" w14:textId="77777777" w:rsidR="00C463BC" w:rsidRDefault="00C463BC" w:rsidP="00F55E72">
            <w:pPr>
              <w:jc w:val="both"/>
              <w:rPr>
                <w:rFonts w:cs="Arial"/>
                <w:szCs w:val="22"/>
              </w:rPr>
            </w:pPr>
            <w:r>
              <w:rPr>
                <w:rFonts w:cs="Arial"/>
                <w:szCs w:val="22"/>
              </w:rPr>
              <w:t>Sian Reid</w:t>
            </w:r>
          </w:p>
          <w:p w14:paraId="7125F8E3" w14:textId="77777777" w:rsidR="00C463BC" w:rsidRPr="009D4437" w:rsidRDefault="00C463BC" w:rsidP="00F55E72">
            <w:pPr>
              <w:jc w:val="both"/>
            </w:pPr>
            <w:r w:rsidRPr="00FC3459">
              <w:rPr>
                <w:rFonts w:cs="Arial"/>
                <w:szCs w:val="22"/>
              </w:rPr>
              <w:t>Diane James</w:t>
            </w:r>
            <w:r w:rsidRPr="009D4437">
              <w:rPr>
                <w:vanish/>
              </w:rPr>
              <w:t xml:space="preserve"> </w:t>
            </w:r>
            <w:r w:rsidRPr="009D4437">
              <w:rPr>
                <w:vanish/>
              </w:rPr>
              <w:fldChar w:fldCharType="begin"/>
            </w:r>
            <w:r>
              <w:rPr>
                <w:vanish/>
              </w:rPr>
              <w:instrText xml:space="preserve">DOCVARIABLE "ViceChPresentRolesRepresentingCells"  \* MERGEFORMAT </w:instrText>
            </w:r>
            <w:r w:rsidRPr="009D4437">
              <w:rPr>
                <w:vanish/>
              </w:rPr>
              <w:fldChar w:fldCharType="separate"/>
            </w:r>
            <w:r>
              <w:rPr>
                <w:vanish/>
              </w:rPr>
              <w:t xml:space="preserve"> </w:t>
            </w:r>
            <w:r w:rsidRPr="009D4437">
              <w:rPr>
                <w:vanish/>
              </w:rPr>
              <w:fldChar w:fldCharType="end"/>
            </w:r>
          </w:p>
        </w:tc>
        <w:tc>
          <w:tcPr>
            <w:tcW w:w="1560" w:type="dxa"/>
            <w:shd w:val="clear" w:color="auto" w:fill="auto"/>
          </w:tcPr>
          <w:p w14:paraId="7125F8E4" w14:textId="77777777" w:rsidR="00C463BC" w:rsidRDefault="00C463BC" w:rsidP="00F55E72">
            <w:pPr>
              <w:jc w:val="both"/>
            </w:pPr>
          </w:p>
        </w:tc>
        <w:tc>
          <w:tcPr>
            <w:tcW w:w="4990" w:type="dxa"/>
            <w:shd w:val="clear" w:color="auto" w:fill="auto"/>
          </w:tcPr>
          <w:p w14:paraId="7125F8E5" w14:textId="77777777" w:rsidR="00C463BC" w:rsidRDefault="00C463BC" w:rsidP="00F55E72">
            <w:pPr>
              <w:jc w:val="both"/>
              <w:rPr>
                <w:rFonts w:cs="Arial"/>
                <w:szCs w:val="22"/>
              </w:rPr>
            </w:pPr>
            <w:r w:rsidRPr="00FC3459">
              <w:rPr>
                <w:rFonts w:cs="Arial"/>
                <w:szCs w:val="22"/>
              </w:rPr>
              <w:t>Kings Lynn &amp; West Norfolk BC</w:t>
            </w:r>
          </w:p>
          <w:p w14:paraId="7125F8E6" w14:textId="77777777" w:rsidR="00C463BC" w:rsidRDefault="00C463BC" w:rsidP="00F55E72">
            <w:pPr>
              <w:jc w:val="both"/>
              <w:rPr>
                <w:rFonts w:cs="Arial"/>
                <w:szCs w:val="22"/>
              </w:rPr>
            </w:pPr>
            <w:r w:rsidRPr="00FC3459">
              <w:rPr>
                <w:rFonts w:cs="Arial"/>
                <w:szCs w:val="22"/>
              </w:rPr>
              <w:t>East Sussex CC</w:t>
            </w:r>
          </w:p>
          <w:p w14:paraId="7125F8E7" w14:textId="77777777" w:rsidR="00C463BC" w:rsidRDefault="00C463BC" w:rsidP="00F55E72">
            <w:pPr>
              <w:jc w:val="both"/>
              <w:rPr>
                <w:rFonts w:cs="Arial"/>
                <w:szCs w:val="22"/>
              </w:rPr>
            </w:pPr>
            <w:r>
              <w:rPr>
                <w:rFonts w:cs="Arial"/>
                <w:szCs w:val="22"/>
              </w:rPr>
              <w:t>Manchester City</w:t>
            </w:r>
          </w:p>
          <w:p w14:paraId="7125F8E8" w14:textId="77777777" w:rsidR="00C463BC" w:rsidRDefault="00C463BC" w:rsidP="00F55E72">
            <w:pPr>
              <w:jc w:val="both"/>
              <w:rPr>
                <w:rFonts w:cs="Arial"/>
                <w:szCs w:val="22"/>
              </w:rPr>
            </w:pPr>
            <w:r>
              <w:rPr>
                <w:rFonts w:cs="Arial"/>
                <w:szCs w:val="22"/>
              </w:rPr>
              <w:t>Stevenage BC</w:t>
            </w:r>
          </w:p>
          <w:p w14:paraId="7125F8E9" w14:textId="77777777" w:rsidR="00C463BC" w:rsidRDefault="00C463BC" w:rsidP="00F55E72">
            <w:pPr>
              <w:jc w:val="both"/>
              <w:rPr>
                <w:rFonts w:cs="Arial"/>
                <w:szCs w:val="22"/>
              </w:rPr>
            </w:pPr>
            <w:r w:rsidRPr="00FC3459">
              <w:rPr>
                <w:rFonts w:cs="Arial"/>
                <w:szCs w:val="22"/>
              </w:rPr>
              <w:t>Thurrock</w:t>
            </w:r>
            <w:r>
              <w:rPr>
                <w:rFonts w:cs="Arial"/>
                <w:szCs w:val="22"/>
              </w:rPr>
              <w:t xml:space="preserve"> Council</w:t>
            </w:r>
          </w:p>
          <w:p w14:paraId="7125F8EA" w14:textId="77777777" w:rsidR="00C463BC" w:rsidRDefault="00C463BC" w:rsidP="00F55E72">
            <w:pPr>
              <w:jc w:val="both"/>
              <w:rPr>
                <w:rFonts w:cs="Arial"/>
                <w:szCs w:val="22"/>
              </w:rPr>
            </w:pPr>
            <w:r>
              <w:rPr>
                <w:rFonts w:cs="Arial"/>
                <w:szCs w:val="22"/>
              </w:rPr>
              <w:t>Cambridge City</w:t>
            </w:r>
          </w:p>
          <w:p w14:paraId="7125F8EB" w14:textId="77777777" w:rsidR="00C463BC" w:rsidRDefault="00C463BC" w:rsidP="00F55E72">
            <w:pPr>
              <w:jc w:val="both"/>
            </w:pPr>
            <w:r w:rsidRPr="00FC3459">
              <w:rPr>
                <w:rFonts w:cs="Arial"/>
                <w:szCs w:val="22"/>
              </w:rPr>
              <w:t>Waverly BC</w:t>
            </w:r>
          </w:p>
        </w:tc>
      </w:tr>
    </w:tbl>
    <w:p w14:paraId="7125F8ED" w14:textId="77777777" w:rsidR="00C463BC" w:rsidRDefault="00C463BC" w:rsidP="00C463BC"/>
    <w:p w14:paraId="7125F8EE" w14:textId="77777777" w:rsidR="00C463BC" w:rsidRDefault="00C463BC" w:rsidP="00C463BC"/>
    <w:tbl>
      <w:tblPr>
        <w:tblW w:w="15125" w:type="dxa"/>
        <w:tblInd w:w="-720" w:type="dxa"/>
        <w:tblLayout w:type="fixed"/>
        <w:tblLook w:val="04A0" w:firstRow="1" w:lastRow="0" w:firstColumn="1" w:lastColumn="0" w:noHBand="0" w:noVBand="1"/>
      </w:tblPr>
      <w:tblGrid>
        <w:gridCol w:w="7349"/>
        <w:gridCol w:w="2736"/>
        <w:gridCol w:w="5040"/>
      </w:tblGrid>
      <w:tr w:rsidR="00C463BC" w14:paraId="7125F8F3" w14:textId="77777777" w:rsidTr="00F55E72">
        <w:tc>
          <w:tcPr>
            <w:tcW w:w="7349" w:type="dxa"/>
            <w:shd w:val="clear" w:color="auto" w:fill="auto"/>
          </w:tcPr>
          <w:p w14:paraId="7125F8EF" w14:textId="77777777" w:rsidR="00C463BC" w:rsidRDefault="00C463BC" w:rsidP="00F55E72">
            <w:pPr>
              <w:jc w:val="both"/>
            </w:pPr>
            <w:r w:rsidRPr="00957AA9">
              <w:rPr>
                <w:b/>
              </w:rPr>
              <w:t>Officers</w:t>
            </w:r>
            <w:r>
              <w:t>: Ian Hughes, Jasbir Jhas and Frances Marshall</w:t>
            </w:r>
          </w:p>
          <w:p w14:paraId="7125F8F0" w14:textId="77777777" w:rsidR="00C463BC" w:rsidRDefault="00C463BC" w:rsidP="00F55E72">
            <w:pPr>
              <w:jc w:val="both"/>
            </w:pPr>
          </w:p>
        </w:tc>
        <w:tc>
          <w:tcPr>
            <w:tcW w:w="2736" w:type="dxa"/>
            <w:shd w:val="clear" w:color="auto" w:fill="auto"/>
          </w:tcPr>
          <w:p w14:paraId="7125F8F1" w14:textId="77777777" w:rsidR="00C463BC" w:rsidRDefault="00C463BC" w:rsidP="00F55E72">
            <w:pPr>
              <w:jc w:val="both"/>
            </w:pPr>
          </w:p>
        </w:tc>
        <w:tc>
          <w:tcPr>
            <w:tcW w:w="5040" w:type="dxa"/>
            <w:shd w:val="clear" w:color="auto" w:fill="auto"/>
          </w:tcPr>
          <w:p w14:paraId="7125F8F2" w14:textId="77777777" w:rsidR="00C463BC" w:rsidRDefault="00C463BC" w:rsidP="00F55E72">
            <w:pPr>
              <w:jc w:val="both"/>
            </w:pPr>
          </w:p>
        </w:tc>
      </w:tr>
    </w:tbl>
    <w:p w14:paraId="7125F8F4" w14:textId="77777777" w:rsidR="00C463BC" w:rsidRDefault="00C463BC" w:rsidP="00C463BC"/>
    <w:tbl>
      <w:tblPr>
        <w:tblW w:w="9504" w:type="dxa"/>
        <w:tblInd w:w="-720" w:type="dxa"/>
        <w:tblLayout w:type="fixed"/>
        <w:tblLook w:val="04A0" w:firstRow="1" w:lastRow="0" w:firstColumn="1" w:lastColumn="0" w:noHBand="0" w:noVBand="1"/>
      </w:tblPr>
      <w:tblGrid>
        <w:gridCol w:w="9504"/>
      </w:tblGrid>
      <w:tr w:rsidR="00C463BC" w14:paraId="7125F8F6" w14:textId="77777777" w:rsidTr="00F55E72">
        <w:tc>
          <w:tcPr>
            <w:tcW w:w="9504" w:type="dxa"/>
            <w:shd w:val="clear" w:color="auto" w:fill="auto"/>
          </w:tcPr>
          <w:p w14:paraId="7125F8F5" w14:textId="77777777" w:rsidR="00C463BC" w:rsidRDefault="00FA2756" w:rsidP="00F55E72">
            <w:pPr>
              <w:jc w:val="both"/>
            </w:pPr>
            <w:fldSimple w:instr="DOCVARIABLE &quot;OfficersInattendanceAttendCommentList&quot;  \* MERGEFORMAT ">
              <w:r w:rsidR="00C463BC">
                <w:t xml:space="preserve"> </w:t>
              </w:r>
            </w:fldSimple>
          </w:p>
        </w:tc>
      </w:tr>
    </w:tbl>
    <w:p w14:paraId="7125F8F7" w14:textId="77777777" w:rsidR="00C463BC" w:rsidRDefault="00C463BC" w:rsidP="00C463BC"/>
    <w:p w14:paraId="7125F8F8" w14:textId="77777777" w:rsidR="00C463BC" w:rsidRPr="009C73A5" w:rsidRDefault="00C463BC" w:rsidP="00C463BC">
      <w:pPr>
        <w:rPr>
          <w:b/>
        </w:rPr>
      </w:pPr>
      <w:r>
        <w:br w:type="page"/>
      </w:r>
      <w:r w:rsidRPr="009C73A5">
        <w:rPr>
          <w:b/>
        </w:rPr>
        <w:lastRenderedPageBreak/>
        <w:t>PART 1: FORMAL LGA BOARD MEETING</w:t>
      </w:r>
    </w:p>
    <w:p w14:paraId="7125F8F9" w14:textId="77777777" w:rsidR="00C463BC" w:rsidRDefault="00C463BC" w:rsidP="00C463BC"/>
    <w:p w14:paraId="7125F8FA" w14:textId="77777777" w:rsidR="00C463BC" w:rsidRDefault="00C463BC" w:rsidP="00C463BC">
      <w:r>
        <w:t xml:space="preserve">The Chair opened the meeting with a round of introductions and noted the apologies that had been received.  He thanked </w:t>
      </w:r>
      <w:r>
        <w:rPr>
          <w:rFonts w:cs="Arial"/>
        </w:rPr>
        <w:t xml:space="preserve">Worcestershire County Council (WCC) for hosting the meeting.  </w:t>
      </w:r>
    </w:p>
    <w:p w14:paraId="7125F8FB" w14:textId="77777777" w:rsidR="00C463BC" w:rsidRDefault="00C463BC" w:rsidP="00C463BC"/>
    <w:p w14:paraId="7125F8FC" w14:textId="77777777" w:rsidR="00C463BC" w:rsidRPr="009D4437" w:rsidRDefault="00C463BC" w:rsidP="00C463BC">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463BC" w:rsidRPr="009D4437" w14:paraId="7125F955" w14:textId="77777777" w:rsidTr="00F55E72">
        <w:tc>
          <w:tcPr>
            <w:tcW w:w="720" w:type="dxa"/>
          </w:tcPr>
          <w:p w14:paraId="7125F8FD" w14:textId="77777777" w:rsidR="00C463BC" w:rsidRPr="009D4437" w:rsidRDefault="00C463BC" w:rsidP="00C463BC">
            <w:pPr>
              <w:numPr>
                <w:ilvl w:val="0"/>
                <w:numId w:val="1"/>
              </w:numPr>
              <w:rPr>
                <w:szCs w:val="22"/>
              </w:rPr>
            </w:pPr>
            <w:r>
              <w:rPr>
                <w:szCs w:val="22"/>
              </w:rPr>
              <w:t xml:space="preserve"> </w:t>
            </w:r>
          </w:p>
        </w:tc>
        <w:tc>
          <w:tcPr>
            <w:tcW w:w="7488" w:type="dxa"/>
          </w:tcPr>
          <w:p w14:paraId="7125F8FE" w14:textId="77777777" w:rsidR="00C463BC" w:rsidRPr="009D4437" w:rsidRDefault="00C463BC" w:rsidP="00F55E72">
            <w:pPr>
              <w:widowControl w:val="0"/>
              <w:rPr>
                <w:rFonts w:ascii="Arial Bold" w:hAnsi="Arial Bold"/>
                <w:b/>
                <w:szCs w:val="22"/>
              </w:rPr>
            </w:pPr>
            <w:r>
              <w:rPr>
                <w:rFonts w:ascii="Arial Bold" w:hAnsi="Arial Bold"/>
                <w:b/>
                <w:szCs w:val="22"/>
              </w:rPr>
              <w:t>LGA Lobbying Priorities for 2014</w:t>
            </w:r>
          </w:p>
          <w:p w14:paraId="7125F8FF" w14:textId="77777777" w:rsidR="00C463BC" w:rsidRDefault="00C463BC" w:rsidP="00F55E72">
            <w:pPr>
              <w:widowControl w:val="0"/>
              <w:rPr>
                <w:rFonts w:ascii="Arial Bold" w:hAnsi="Arial Bold"/>
                <w:b/>
              </w:rPr>
            </w:pPr>
          </w:p>
          <w:p w14:paraId="7125F900" w14:textId="77777777" w:rsidR="00C463BC" w:rsidRPr="00BE799F" w:rsidRDefault="00C463BC" w:rsidP="00F55E72">
            <w:pPr>
              <w:widowControl w:val="0"/>
              <w:rPr>
                <w:rFonts w:cs="Arial"/>
                <w:b/>
                <w:szCs w:val="22"/>
              </w:rPr>
            </w:pPr>
            <w:r>
              <w:rPr>
                <w:rFonts w:cs="Arial"/>
                <w:szCs w:val="22"/>
              </w:rPr>
              <w:t xml:space="preserve">The Chair introduced the report, which set out the proposed LGA EU lobbying priorities for 2014, following the publication of the </w:t>
            </w:r>
            <w:r w:rsidRPr="00227A7D">
              <w:rPr>
                <w:rFonts w:cs="Arial"/>
                <w:szCs w:val="22"/>
              </w:rPr>
              <w:t>European Commission’s annual work programme</w:t>
            </w:r>
            <w:r>
              <w:rPr>
                <w:rFonts w:cs="Arial"/>
                <w:szCs w:val="22"/>
              </w:rPr>
              <w:t>.  In doing so, he outlined the seven key priorities, those issues with a watching brief, and how these priorities would be translated into lead member portfolios.  Members were invited to discuss the proposed prioritisation for recommendation to Executive on 12 December</w:t>
            </w:r>
            <w:r>
              <w:rPr>
                <w:rFonts w:cs="Arial"/>
                <w:b/>
                <w:szCs w:val="22"/>
              </w:rPr>
              <w:t>.</w:t>
            </w:r>
          </w:p>
          <w:p w14:paraId="7125F901" w14:textId="77777777" w:rsidR="00C463BC" w:rsidRDefault="00C463BC" w:rsidP="00F55E72">
            <w:pPr>
              <w:widowControl w:val="0"/>
              <w:rPr>
                <w:rFonts w:ascii="Arial Bold" w:hAnsi="Arial Bold"/>
                <w:b/>
              </w:rPr>
            </w:pPr>
            <w:r>
              <w:rPr>
                <w:rFonts w:cs="Arial"/>
                <w:szCs w:val="22"/>
              </w:rPr>
              <w:t xml:space="preserve">  </w:t>
            </w:r>
          </w:p>
          <w:p w14:paraId="7125F902" w14:textId="77777777" w:rsidR="00C463BC" w:rsidRPr="00C40D82" w:rsidRDefault="00C463BC" w:rsidP="00F55E72">
            <w:pPr>
              <w:widowControl w:val="0"/>
              <w:rPr>
                <w:rFonts w:cs="Arial"/>
                <w:szCs w:val="22"/>
              </w:rPr>
            </w:pPr>
            <w:r w:rsidRPr="00AC1E70">
              <w:rPr>
                <w:rFonts w:cs="Arial"/>
                <w:szCs w:val="22"/>
              </w:rPr>
              <w:t xml:space="preserve">In the discussion that followed, a number of comments were made, including: </w:t>
            </w:r>
          </w:p>
          <w:p w14:paraId="7125F903" w14:textId="77777777" w:rsidR="00C463BC" w:rsidRPr="00C40D82" w:rsidRDefault="00C463BC" w:rsidP="00F55E72">
            <w:pPr>
              <w:widowControl w:val="0"/>
              <w:rPr>
                <w:rFonts w:cs="Arial"/>
                <w:szCs w:val="22"/>
              </w:rPr>
            </w:pPr>
          </w:p>
          <w:p w14:paraId="7125F904" w14:textId="77777777" w:rsidR="00C463BC" w:rsidRDefault="00C463BC" w:rsidP="00C463BC">
            <w:pPr>
              <w:widowControl w:val="0"/>
              <w:numPr>
                <w:ilvl w:val="0"/>
                <w:numId w:val="2"/>
              </w:numPr>
              <w:rPr>
                <w:rFonts w:cs="Arial"/>
                <w:szCs w:val="22"/>
              </w:rPr>
            </w:pPr>
            <w:r w:rsidRPr="0060199F">
              <w:rPr>
                <w:rFonts w:cs="Arial"/>
                <w:szCs w:val="22"/>
              </w:rPr>
              <w:t xml:space="preserve">Members were generally supportive of the priorities outlined, however emphasised the importance of </w:t>
            </w:r>
            <w:r>
              <w:rPr>
                <w:rFonts w:cs="Arial"/>
                <w:szCs w:val="22"/>
              </w:rPr>
              <w:t>keeping abreast of developments relating to those issues</w:t>
            </w:r>
            <w:r w:rsidRPr="0060199F">
              <w:rPr>
                <w:rFonts w:cs="Arial"/>
                <w:szCs w:val="22"/>
              </w:rPr>
              <w:t xml:space="preserve"> with a ‘watching brief’</w:t>
            </w:r>
            <w:r>
              <w:rPr>
                <w:rFonts w:cs="Arial"/>
                <w:szCs w:val="22"/>
              </w:rPr>
              <w:t>.  Particular reference was made to Directives on</w:t>
            </w:r>
            <w:r w:rsidRPr="0060199F">
              <w:rPr>
                <w:rFonts w:cs="Arial"/>
                <w:szCs w:val="22"/>
              </w:rPr>
              <w:t xml:space="preserve">: </w:t>
            </w:r>
            <w:r>
              <w:rPr>
                <w:rFonts w:cs="Arial"/>
                <w:szCs w:val="22"/>
              </w:rPr>
              <w:t>EU state aid rules to airports and</w:t>
            </w:r>
            <w:r w:rsidRPr="0060199F">
              <w:rPr>
                <w:rFonts w:cs="Arial"/>
                <w:szCs w:val="22"/>
              </w:rPr>
              <w:t xml:space="preserve"> airlines; </w:t>
            </w:r>
            <w:r>
              <w:rPr>
                <w:rFonts w:cs="Arial"/>
                <w:szCs w:val="22"/>
              </w:rPr>
              <w:t>free movement of workers and</w:t>
            </w:r>
            <w:r w:rsidRPr="0060199F">
              <w:rPr>
                <w:rFonts w:cs="Arial"/>
                <w:szCs w:val="22"/>
              </w:rPr>
              <w:t xml:space="preserve"> their rights; and </w:t>
            </w:r>
            <w:r>
              <w:rPr>
                <w:rFonts w:cs="Arial"/>
                <w:szCs w:val="22"/>
              </w:rPr>
              <w:t>r</w:t>
            </w:r>
            <w:r w:rsidRPr="0060199F">
              <w:rPr>
                <w:rFonts w:cs="Arial"/>
                <w:szCs w:val="22"/>
              </w:rPr>
              <w:t>evision of food hygiene legislation.</w:t>
            </w:r>
            <w:r>
              <w:rPr>
                <w:rFonts w:cs="Arial"/>
                <w:szCs w:val="22"/>
              </w:rPr>
              <w:t xml:space="preserve">  </w:t>
            </w:r>
          </w:p>
          <w:p w14:paraId="7125F905" w14:textId="77777777" w:rsidR="00C463BC" w:rsidRDefault="00C463BC" w:rsidP="00F55E72">
            <w:pPr>
              <w:widowControl w:val="0"/>
              <w:ind w:left="720"/>
              <w:rPr>
                <w:rFonts w:cs="Arial"/>
                <w:szCs w:val="22"/>
              </w:rPr>
            </w:pPr>
          </w:p>
          <w:p w14:paraId="7125F906" w14:textId="77777777" w:rsidR="00C463BC" w:rsidRDefault="00C463BC" w:rsidP="00C463BC">
            <w:pPr>
              <w:widowControl w:val="0"/>
              <w:numPr>
                <w:ilvl w:val="0"/>
                <w:numId w:val="2"/>
              </w:numPr>
              <w:rPr>
                <w:rFonts w:cs="Arial"/>
                <w:szCs w:val="22"/>
              </w:rPr>
            </w:pPr>
            <w:r>
              <w:rPr>
                <w:rFonts w:cs="Arial"/>
                <w:szCs w:val="22"/>
              </w:rPr>
              <w:t xml:space="preserve">With reference to the Lead Member portfolio areas, a discussion arose regarding how Board Members could best support the Lead Members in leading on the priority areas within their remit.  </w:t>
            </w:r>
          </w:p>
          <w:p w14:paraId="7125F907" w14:textId="77777777" w:rsidR="00C463BC" w:rsidRDefault="00C463BC" w:rsidP="00F55E72">
            <w:pPr>
              <w:pStyle w:val="ListParagraph"/>
              <w:rPr>
                <w:rFonts w:cs="Arial"/>
                <w:szCs w:val="22"/>
              </w:rPr>
            </w:pPr>
          </w:p>
          <w:p w14:paraId="7125F908" w14:textId="77777777" w:rsidR="00C463BC" w:rsidRDefault="00C463BC" w:rsidP="00C463BC">
            <w:pPr>
              <w:widowControl w:val="0"/>
              <w:numPr>
                <w:ilvl w:val="0"/>
                <w:numId w:val="2"/>
              </w:numPr>
              <w:rPr>
                <w:rFonts w:cs="Arial"/>
                <w:szCs w:val="22"/>
              </w:rPr>
            </w:pPr>
            <w:r>
              <w:rPr>
                <w:rFonts w:cs="Arial"/>
                <w:szCs w:val="22"/>
              </w:rPr>
              <w:t xml:space="preserve">Members asked that in future a commentary be kept on each of the priority areas and watching brief issues to monitor developments and share progress with the wider membership.   </w:t>
            </w:r>
          </w:p>
          <w:p w14:paraId="7125F909" w14:textId="77777777" w:rsidR="00C463BC" w:rsidRDefault="00C463BC" w:rsidP="00F55E72">
            <w:pPr>
              <w:widowControl w:val="0"/>
              <w:rPr>
                <w:rFonts w:cs="Arial"/>
                <w:szCs w:val="22"/>
              </w:rPr>
            </w:pPr>
          </w:p>
          <w:p w14:paraId="7125F90A" w14:textId="77777777" w:rsidR="00C463BC" w:rsidRDefault="00C463BC" w:rsidP="00C463BC">
            <w:pPr>
              <w:widowControl w:val="0"/>
              <w:numPr>
                <w:ilvl w:val="0"/>
                <w:numId w:val="2"/>
              </w:numPr>
              <w:rPr>
                <w:rFonts w:cs="Arial"/>
                <w:szCs w:val="22"/>
              </w:rPr>
            </w:pPr>
            <w:r>
              <w:rPr>
                <w:rFonts w:cs="Arial"/>
                <w:szCs w:val="22"/>
              </w:rPr>
              <w:t xml:space="preserve">With reference to the </w:t>
            </w:r>
            <w:r w:rsidRPr="00042879">
              <w:rPr>
                <w:rFonts w:cs="Arial"/>
                <w:szCs w:val="22"/>
              </w:rPr>
              <w:t>European Accessibility Act</w:t>
            </w:r>
            <w:r>
              <w:rPr>
                <w:rFonts w:cs="Arial"/>
                <w:szCs w:val="22"/>
              </w:rPr>
              <w:t>, it was suggested that a meeting be set up between Cllr Allan (President of CEEP UK) and the Chair of the European and International Board to investigate</w:t>
            </w:r>
            <w:r w:rsidRPr="005D24AB">
              <w:rPr>
                <w:rFonts w:cs="Arial"/>
                <w:szCs w:val="22"/>
              </w:rPr>
              <w:t xml:space="preserve"> the possibility of closer working to maximise local government’s influence</w:t>
            </w:r>
            <w:r>
              <w:rPr>
                <w:rFonts w:cs="Arial"/>
                <w:szCs w:val="22"/>
              </w:rPr>
              <w:t>.</w:t>
            </w:r>
          </w:p>
          <w:p w14:paraId="7125F90B" w14:textId="77777777" w:rsidR="00C463BC" w:rsidRDefault="00C463BC" w:rsidP="00F55E72">
            <w:pPr>
              <w:widowControl w:val="0"/>
              <w:rPr>
                <w:rFonts w:cs="Arial"/>
                <w:szCs w:val="22"/>
              </w:rPr>
            </w:pPr>
          </w:p>
          <w:p w14:paraId="7125F90C" w14:textId="77777777" w:rsidR="00C463BC" w:rsidRDefault="00C463BC" w:rsidP="00C463BC">
            <w:pPr>
              <w:widowControl w:val="0"/>
              <w:numPr>
                <w:ilvl w:val="0"/>
                <w:numId w:val="2"/>
              </w:numPr>
              <w:rPr>
                <w:rFonts w:cs="Arial"/>
                <w:szCs w:val="22"/>
              </w:rPr>
            </w:pPr>
            <w:r w:rsidRPr="00A83B6E">
              <w:rPr>
                <w:rFonts w:cs="Arial"/>
                <w:szCs w:val="22"/>
              </w:rPr>
              <w:t>Members emphasised the importance of work</w:t>
            </w:r>
            <w:r w:rsidR="00C312D0">
              <w:rPr>
                <w:rFonts w:cs="Arial"/>
                <w:szCs w:val="22"/>
              </w:rPr>
              <w:t xml:space="preserve">ing after the </w:t>
            </w:r>
            <w:r w:rsidRPr="00A83B6E">
              <w:rPr>
                <w:rFonts w:cs="Arial"/>
                <w:szCs w:val="22"/>
              </w:rPr>
              <w:t xml:space="preserve">European Parliamentary elections to develop positive relationships with the new MEPs and </w:t>
            </w:r>
            <w:r>
              <w:rPr>
                <w:rFonts w:cs="Arial"/>
                <w:szCs w:val="22"/>
              </w:rPr>
              <w:t xml:space="preserve">new </w:t>
            </w:r>
            <w:r w:rsidRPr="00A83B6E">
              <w:rPr>
                <w:rFonts w:cs="Arial"/>
                <w:szCs w:val="22"/>
              </w:rPr>
              <w:t xml:space="preserve">European Commission.  </w:t>
            </w:r>
          </w:p>
          <w:p w14:paraId="7125F90D" w14:textId="77777777" w:rsidR="00C463BC" w:rsidRPr="00A83B6E" w:rsidRDefault="00C463BC" w:rsidP="00F55E72">
            <w:pPr>
              <w:widowControl w:val="0"/>
              <w:rPr>
                <w:rFonts w:cs="Arial"/>
                <w:szCs w:val="22"/>
              </w:rPr>
            </w:pPr>
          </w:p>
          <w:p w14:paraId="7125F90E" w14:textId="77777777" w:rsidR="00C463BC" w:rsidRPr="00411AD0" w:rsidRDefault="00C463BC" w:rsidP="00C463BC">
            <w:pPr>
              <w:widowControl w:val="0"/>
              <w:numPr>
                <w:ilvl w:val="0"/>
                <w:numId w:val="2"/>
              </w:numPr>
              <w:rPr>
                <w:rFonts w:cs="Arial"/>
                <w:szCs w:val="22"/>
              </w:rPr>
            </w:pPr>
            <w:r w:rsidRPr="00BA5AEF">
              <w:rPr>
                <w:rFonts w:cs="Arial"/>
                <w:szCs w:val="22"/>
              </w:rPr>
              <w:t>Members expressed disappointment at the cancellation of the central-local summit</w:t>
            </w:r>
            <w:r>
              <w:rPr>
                <w:rFonts w:cs="Arial"/>
                <w:szCs w:val="22"/>
              </w:rPr>
              <w:t xml:space="preserve"> - </w:t>
            </w:r>
            <w:r w:rsidRPr="00BA5AEF">
              <w:rPr>
                <w:rFonts w:cs="Arial"/>
                <w:szCs w:val="22"/>
              </w:rPr>
              <w:t xml:space="preserve">convened to </w:t>
            </w:r>
            <w:r w:rsidRPr="00BA5AEF">
              <w:rPr>
                <w:rFonts w:cs="Arial"/>
                <w:bCs/>
                <w:szCs w:val="22"/>
              </w:rPr>
              <w:t xml:space="preserve">discuss local government priorities with the EU </w:t>
            </w:r>
            <w:r>
              <w:rPr>
                <w:rFonts w:cs="Arial"/>
                <w:bCs/>
                <w:szCs w:val="22"/>
              </w:rPr>
              <w:t xml:space="preserve">leads in government departments - </w:t>
            </w:r>
            <w:r w:rsidRPr="00BA5AEF">
              <w:rPr>
                <w:rFonts w:cs="Arial"/>
                <w:bCs/>
                <w:szCs w:val="22"/>
              </w:rPr>
              <w:t xml:space="preserve">due to lack of engagement from Whitehall.  Whilst members acknowledged that the fact that Whitehall </w:t>
            </w:r>
            <w:r>
              <w:rPr>
                <w:rFonts w:cs="Arial"/>
                <w:bCs/>
                <w:szCs w:val="22"/>
              </w:rPr>
              <w:t xml:space="preserve">having </w:t>
            </w:r>
            <w:r w:rsidRPr="00BA5AEF">
              <w:rPr>
                <w:rFonts w:cs="Arial"/>
                <w:bCs/>
                <w:szCs w:val="22"/>
              </w:rPr>
              <w:t xml:space="preserve">not engaged with </w:t>
            </w:r>
            <w:r w:rsidRPr="00BA5AEF">
              <w:rPr>
                <w:rFonts w:cs="Arial"/>
                <w:bCs/>
                <w:szCs w:val="22"/>
              </w:rPr>
              <w:lastRenderedPageBreak/>
              <w:t>the sector provides a useful audit trail to strengthen our case should Government seek to devolve a fine, there was a mixe</w:t>
            </w:r>
            <w:r>
              <w:rPr>
                <w:rFonts w:cs="Arial"/>
                <w:bCs/>
                <w:szCs w:val="22"/>
              </w:rPr>
              <w:t>d view on next steps.  Several M</w:t>
            </w:r>
            <w:r w:rsidRPr="00BA5AEF">
              <w:rPr>
                <w:rFonts w:cs="Arial"/>
                <w:bCs/>
                <w:szCs w:val="22"/>
              </w:rPr>
              <w:t>embers emphasised the importance of continuing to pursue the issue through appropriate channels to ensure a meaningful outcome for local government, whilst on the other hand</w:t>
            </w:r>
            <w:r>
              <w:rPr>
                <w:rFonts w:cs="Arial"/>
                <w:bCs/>
                <w:szCs w:val="22"/>
              </w:rPr>
              <w:t xml:space="preserve">, it was suggested that resources be focused on lobbying key Departments on key issues, rather than engaging with Whitehall as a whole.  </w:t>
            </w:r>
          </w:p>
          <w:p w14:paraId="7125F90F" w14:textId="77777777" w:rsidR="00C463BC" w:rsidRPr="00C40D82" w:rsidRDefault="00C463BC" w:rsidP="00F55E72">
            <w:pPr>
              <w:widowControl w:val="0"/>
              <w:rPr>
                <w:rFonts w:cs="Arial"/>
                <w:szCs w:val="22"/>
              </w:rPr>
            </w:pPr>
          </w:p>
          <w:p w14:paraId="7125F910" w14:textId="77777777" w:rsidR="00C463BC" w:rsidRDefault="00C463BC" w:rsidP="00F55E72">
            <w:pPr>
              <w:widowControl w:val="0"/>
              <w:rPr>
                <w:rFonts w:ascii="Arial Bold" w:hAnsi="Arial Bold"/>
                <w:b/>
              </w:rPr>
            </w:pPr>
            <w:r>
              <w:rPr>
                <w:rFonts w:ascii="Arial Bold" w:hAnsi="Arial Bold"/>
                <w:b/>
              </w:rPr>
              <w:t xml:space="preserve">Decision </w:t>
            </w:r>
          </w:p>
          <w:p w14:paraId="7125F911" w14:textId="77777777" w:rsidR="00C463BC" w:rsidRDefault="00C463BC" w:rsidP="00F55E72">
            <w:pPr>
              <w:widowControl w:val="0"/>
              <w:rPr>
                <w:rFonts w:ascii="Arial Bold" w:hAnsi="Arial Bold"/>
                <w:b/>
              </w:rPr>
            </w:pPr>
          </w:p>
          <w:p w14:paraId="7125F912" w14:textId="77777777" w:rsidR="00C463BC" w:rsidRDefault="00C463BC" w:rsidP="00F55E72">
            <w:pPr>
              <w:widowControl w:val="0"/>
              <w:rPr>
                <w:rFonts w:ascii="Arial Bold" w:hAnsi="Arial Bold"/>
                <w:b/>
              </w:rPr>
            </w:pPr>
            <w:r>
              <w:rPr>
                <w:rFonts w:cs="Arial"/>
                <w:szCs w:val="22"/>
              </w:rPr>
              <w:t xml:space="preserve">That the Board </w:t>
            </w:r>
            <w:r w:rsidRPr="00267A63">
              <w:rPr>
                <w:rFonts w:cs="Arial"/>
                <w:b/>
                <w:szCs w:val="22"/>
              </w:rPr>
              <w:t>agreed</w:t>
            </w:r>
            <w:r>
              <w:rPr>
                <w:rFonts w:cs="Arial"/>
                <w:szCs w:val="22"/>
              </w:rPr>
              <w:t xml:space="preserve"> the </w:t>
            </w:r>
            <w:r w:rsidRPr="00D21642">
              <w:rPr>
                <w:rFonts w:cs="Arial"/>
                <w:szCs w:val="22"/>
              </w:rPr>
              <w:t>LGA</w:t>
            </w:r>
            <w:r>
              <w:rPr>
                <w:rFonts w:cs="Arial"/>
                <w:szCs w:val="22"/>
              </w:rPr>
              <w:t xml:space="preserve">’s </w:t>
            </w:r>
            <w:r w:rsidRPr="00D21642">
              <w:rPr>
                <w:rFonts w:cs="Arial"/>
                <w:szCs w:val="22"/>
              </w:rPr>
              <w:t>EU lobbying priorities for 2014</w:t>
            </w:r>
            <w:r>
              <w:rPr>
                <w:rFonts w:cs="Arial"/>
                <w:szCs w:val="22"/>
              </w:rPr>
              <w:t xml:space="preserve"> for recommendation to Executive.  </w:t>
            </w:r>
          </w:p>
          <w:p w14:paraId="7125F913" w14:textId="77777777" w:rsidR="00C463BC" w:rsidRDefault="00C463BC" w:rsidP="00F55E72">
            <w:pPr>
              <w:widowControl w:val="0"/>
              <w:rPr>
                <w:rFonts w:ascii="Arial Bold" w:hAnsi="Arial Bold"/>
                <w:b/>
              </w:rPr>
            </w:pPr>
          </w:p>
          <w:p w14:paraId="7125F914" w14:textId="77777777" w:rsidR="00C463BC" w:rsidRDefault="00C463BC" w:rsidP="00F55E72">
            <w:pPr>
              <w:widowControl w:val="0"/>
              <w:rPr>
                <w:rFonts w:ascii="Arial Bold" w:hAnsi="Arial Bold"/>
                <w:b/>
              </w:rPr>
            </w:pPr>
            <w:r>
              <w:rPr>
                <w:rFonts w:ascii="Arial Bold" w:hAnsi="Arial Bold"/>
                <w:b/>
              </w:rPr>
              <w:t xml:space="preserve">Actions </w:t>
            </w:r>
          </w:p>
          <w:p w14:paraId="7125F915" w14:textId="77777777" w:rsidR="00C463BC" w:rsidRPr="00411AD0" w:rsidRDefault="00C463BC" w:rsidP="00F55E72">
            <w:pPr>
              <w:widowControl w:val="0"/>
              <w:rPr>
                <w:rFonts w:cs="Arial"/>
                <w:szCs w:val="22"/>
              </w:rPr>
            </w:pPr>
          </w:p>
          <w:p w14:paraId="7125F916" w14:textId="77777777" w:rsidR="00C463BC" w:rsidRDefault="00C463BC" w:rsidP="00F55E72">
            <w:pPr>
              <w:widowControl w:val="0"/>
              <w:rPr>
                <w:rFonts w:cs="Arial"/>
                <w:szCs w:val="22"/>
              </w:rPr>
            </w:pPr>
            <w:r w:rsidRPr="00411AD0">
              <w:rPr>
                <w:rFonts w:cs="Arial"/>
                <w:szCs w:val="22"/>
              </w:rPr>
              <w:t xml:space="preserve">Arrange a meeting between President of CEEP UK and the Chair of the European and International Board. </w:t>
            </w:r>
          </w:p>
          <w:p w14:paraId="7125F917" w14:textId="77777777" w:rsidR="00C463BC" w:rsidRPr="00411AD0" w:rsidRDefault="00C463BC" w:rsidP="00F55E72">
            <w:pPr>
              <w:widowControl w:val="0"/>
              <w:rPr>
                <w:rFonts w:cs="Arial"/>
                <w:szCs w:val="22"/>
              </w:rPr>
            </w:pPr>
          </w:p>
          <w:p w14:paraId="7125F918" w14:textId="77777777" w:rsidR="00C463BC" w:rsidRPr="009D4437" w:rsidRDefault="00C463BC" w:rsidP="00F55E72">
            <w:pPr>
              <w:widowControl w:val="0"/>
              <w:rPr>
                <w:rFonts w:ascii="Arial Bold" w:hAnsi="Arial Bold"/>
                <w:b/>
              </w:rPr>
            </w:pPr>
          </w:p>
        </w:tc>
        <w:tc>
          <w:tcPr>
            <w:tcW w:w="1584" w:type="dxa"/>
          </w:tcPr>
          <w:p w14:paraId="7125F919" w14:textId="77777777" w:rsidR="00C463BC" w:rsidRDefault="00C463BC" w:rsidP="00F55E72">
            <w:pPr>
              <w:widowControl w:val="0"/>
              <w:rPr>
                <w:bCs/>
              </w:rPr>
            </w:pPr>
          </w:p>
          <w:p w14:paraId="7125F91A" w14:textId="77777777" w:rsidR="00C463BC" w:rsidRDefault="00C463BC" w:rsidP="00F55E72">
            <w:pPr>
              <w:widowControl w:val="0"/>
              <w:rPr>
                <w:bCs/>
              </w:rPr>
            </w:pPr>
          </w:p>
          <w:p w14:paraId="7125F91B" w14:textId="77777777" w:rsidR="00C463BC" w:rsidRDefault="00C463BC" w:rsidP="00F55E72">
            <w:pPr>
              <w:widowControl w:val="0"/>
              <w:rPr>
                <w:bCs/>
              </w:rPr>
            </w:pPr>
          </w:p>
          <w:p w14:paraId="7125F91C" w14:textId="77777777" w:rsidR="00C463BC" w:rsidRDefault="00C463BC" w:rsidP="00F55E72">
            <w:pPr>
              <w:widowControl w:val="0"/>
              <w:rPr>
                <w:bCs/>
              </w:rPr>
            </w:pPr>
          </w:p>
          <w:p w14:paraId="7125F91D" w14:textId="77777777" w:rsidR="00C463BC" w:rsidRDefault="00C463BC" w:rsidP="00F55E72">
            <w:pPr>
              <w:widowControl w:val="0"/>
              <w:rPr>
                <w:bCs/>
              </w:rPr>
            </w:pPr>
          </w:p>
          <w:p w14:paraId="7125F91E" w14:textId="77777777" w:rsidR="00C463BC" w:rsidRDefault="00C463BC" w:rsidP="00F55E72">
            <w:pPr>
              <w:widowControl w:val="0"/>
              <w:rPr>
                <w:bCs/>
              </w:rPr>
            </w:pPr>
          </w:p>
          <w:p w14:paraId="7125F91F" w14:textId="77777777" w:rsidR="00C463BC" w:rsidRDefault="00C463BC" w:rsidP="00F55E72">
            <w:pPr>
              <w:widowControl w:val="0"/>
              <w:rPr>
                <w:bCs/>
              </w:rPr>
            </w:pPr>
          </w:p>
          <w:p w14:paraId="7125F920" w14:textId="77777777" w:rsidR="00C463BC" w:rsidRDefault="00C463BC" w:rsidP="00F55E72">
            <w:pPr>
              <w:widowControl w:val="0"/>
              <w:rPr>
                <w:bCs/>
              </w:rPr>
            </w:pPr>
          </w:p>
          <w:p w14:paraId="7125F921" w14:textId="77777777" w:rsidR="00C463BC" w:rsidRDefault="00C463BC" w:rsidP="00F55E72">
            <w:pPr>
              <w:widowControl w:val="0"/>
              <w:rPr>
                <w:bCs/>
              </w:rPr>
            </w:pPr>
          </w:p>
          <w:p w14:paraId="7125F922" w14:textId="77777777" w:rsidR="00C463BC" w:rsidRDefault="00C463BC" w:rsidP="00F55E72">
            <w:pPr>
              <w:widowControl w:val="0"/>
              <w:rPr>
                <w:bCs/>
              </w:rPr>
            </w:pPr>
          </w:p>
          <w:p w14:paraId="7125F923" w14:textId="77777777" w:rsidR="00C463BC" w:rsidRDefault="00C463BC" w:rsidP="00F55E72">
            <w:pPr>
              <w:widowControl w:val="0"/>
              <w:rPr>
                <w:bCs/>
              </w:rPr>
            </w:pPr>
          </w:p>
          <w:p w14:paraId="7125F924" w14:textId="77777777" w:rsidR="00C463BC" w:rsidRDefault="00C463BC" w:rsidP="00F55E72">
            <w:pPr>
              <w:widowControl w:val="0"/>
              <w:rPr>
                <w:bCs/>
              </w:rPr>
            </w:pPr>
          </w:p>
          <w:p w14:paraId="7125F925" w14:textId="77777777" w:rsidR="00C463BC" w:rsidRDefault="00C463BC" w:rsidP="00F55E72">
            <w:pPr>
              <w:widowControl w:val="0"/>
              <w:rPr>
                <w:bCs/>
              </w:rPr>
            </w:pPr>
          </w:p>
          <w:p w14:paraId="7125F926" w14:textId="77777777" w:rsidR="00C463BC" w:rsidRDefault="00C463BC" w:rsidP="00F55E72">
            <w:pPr>
              <w:widowControl w:val="0"/>
              <w:rPr>
                <w:bCs/>
              </w:rPr>
            </w:pPr>
          </w:p>
          <w:p w14:paraId="7125F927" w14:textId="77777777" w:rsidR="00C463BC" w:rsidRDefault="00C463BC" w:rsidP="00F55E72">
            <w:pPr>
              <w:widowControl w:val="0"/>
              <w:rPr>
                <w:bCs/>
              </w:rPr>
            </w:pPr>
          </w:p>
          <w:p w14:paraId="7125F928" w14:textId="77777777" w:rsidR="00C463BC" w:rsidRDefault="00C463BC" w:rsidP="00F55E72">
            <w:pPr>
              <w:widowControl w:val="0"/>
              <w:rPr>
                <w:bCs/>
              </w:rPr>
            </w:pPr>
          </w:p>
          <w:p w14:paraId="7125F929" w14:textId="77777777" w:rsidR="00C463BC" w:rsidRDefault="00C463BC" w:rsidP="00F55E72">
            <w:pPr>
              <w:widowControl w:val="0"/>
              <w:rPr>
                <w:bCs/>
              </w:rPr>
            </w:pPr>
          </w:p>
          <w:p w14:paraId="7125F92A" w14:textId="77777777" w:rsidR="00C463BC" w:rsidRDefault="00C463BC" w:rsidP="00F55E72">
            <w:pPr>
              <w:widowControl w:val="0"/>
              <w:rPr>
                <w:bCs/>
              </w:rPr>
            </w:pPr>
          </w:p>
          <w:p w14:paraId="7125F92B" w14:textId="77777777" w:rsidR="00C463BC" w:rsidRDefault="00C463BC" w:rsidP="00F55E72">
            <w:pPr>
              <w:widowControl w:val="0"/>
              <w:rPr>
                <w:bCs/>
              </w:rPr>
            </w:pPr>
          </w:p>
          <w:p w14:paraId="7125F92C" w14:textId="77777777" w:rsidR="00C463BC" w:rsidRDefault="00C463BC" w:rsidP="00F55E72">
            <w:pPr>
              <w:widowControl w:val="0"/>
              <w:rPr>
                <w:bCs/>
              </w:rPr>
            </w:pPr>
          </w:p>
          <w:p w14:paraId="7125F92D" w14:textId="77777777" w:rsidR="00C463BC" w:rsidRDefault="00C463BC" w:rsidP="00F55E72">
            <w:pPr>
              <w:widowControl w:val="0"/>
              <w:rPr>
                <w:bCs/>
              </w:rPr>
            </w:pPr>
          </w:p>
          <w:p w14:paraId="7125F92E" w14:textId="77777777" w:rsidR="00C463BC" w:rsidRDefault="00C463BC" w:rsidP="00F55E72">
            <w:pPr>
              <w:widowControl w:val="0"/>
              <w:rPr>
                <w:bCs/>
              </w:rPr>
            </w:pPr>
          </w:p>
          <w:p w14:paraId="7125F92F" w14:textId="77777777" w:rsidR="00C463BC" w:rsidRDefault="00C463BC" w:rsidP="00F55E72">
            <w:pPr>
              <w:widowControl w:val="0"/>
              <w:rPr>
                <w:bCs/>
              </w:rPr>
            </w:pPr>
          </w:p>
          <w:p w14:paraId="7125F930" w14:textId="77777777" w:rsidR="00C463BC" w:rsidRDefault="00C463BC" w:rsidP="00F55E72">
            <w:pPr>
              <w:widowControl w:val="0"/>
              <w:rPr>
                <w:bCs/>
              </w:rPr>
            </w:pPr>
          </w:p>
          <w:p w14:paraId="7125F931" w14:textId="77777777" w:rsidR="00C463BC" w:rsidRDefault="00C463BC" w:rsidP="00F55E72">
            <w:pPr>
              <w:widowControl w:val="0"/>
              <w:rPr>
                <w:bCs/>
              </w:rPr>
            </w:pPr>
          </w:p>
          <w:p w14:paraId="7125F932" w14:textId="77777777" w:rsidR="00C463BC" w:rsidRDefault="00C463BC" w:rsidP="00F55E72">
            <w:pPr>
              <w:widowControl w:val="0"/>
              <w:rPr>
                <w:bCs/>
              </w:rPr>
            </w:pPr>
          </w:p>
          <w:p w14:paraId="7125F933" w14:textId="77777777" w:rsidR="00C463BC" w:rsidRDefault="00C463BC" w:rsidP="00F55E72">
            <w:pPr>
              <w:widowControl w:val="0"/>
              <w:rPr>
                <w:bCs/>
              </w:rPr>
            </w:pPr>
          </w:p>
          <w:p w14:paraId="7125F934" w14:textId="77777777" w:rsidR="00C463BC" w:rsidRDefault="00C463BC" w:rsidP="00F55E72">
            <w:pPr>
              <w:widowControl w:val="0"/>
              <w:rPr>
                <w:bCs/>
              </w:rPr>
            </w:pPr>
          </w:p>
          <w:p w14:paraId="7125F935" w14:textId="77777777" w:rsidR="00C463BC" w:rsidRDefault="00C463BC" w:rsidP="00F55E72">
            <w:pPr>
              <w:widowControl w:val="0"/>
              <w:rPr>
                <w:bCs/>
              </w:rPr>
            </w:pPr>
          </w:p>
          <w:p w14:paraId="7125F936" w14:textId="77777777" w:rsidR="00C463BC" w:rsidRDefault="00C463BC" w:rsidP="00F55E72">
            <w:pPr>
              <w:widowControl w:val="0"/>
              <w:rPr>
                <w:bCs/>
              </w:rPr>
            </w:pPr>
          </w:p>
          <w:p w14:paraId="7125F937" w14:textId="77777777" w:rsidR="00C463BC" w:rsidRDefault="00C463BC" w:rsidP="00F55E72">
            <w:pPr>
              <w:widowControl w:val="0"/>
              <w:rPr>
                <w:bCs/>
              </w:rPr>
            </w:pPr>
          </w:p>
          <w:p w14:paraId="7125F938" w14:textId="77777777" w:rsidR="00C463BC" w:rsidRDefault="00C463BC" w:rsidP="00F55E72">
            <w:pPr>
              <w:widowControl w:val="0"/>
              <w:rPr>
                <w:bCs/>
              </w:rPr>
            </w:pPr>
          </w:p>
          <w:p w14:paraId="7125F939" w14:textId="77777777" w:rsidR="00C463BC" w:rsidRDefault="00C463BC" w:rsidP="00F55E72">
            <w:pPr>
              <w:widowControl w:val="0"/>
              <w:rPr>
                <w:bCs/>
              </w:rPr>
            </w:pPr>
          </w:p>
          <w:p w14:paraId="7125F93A" w14:textId="77777777" w:rsidR="00C463BC" w:rsidRDefault="00C463BC" w:rsidP="00F55E72">
            <w:pPr>
              <w:widowControl w:val="0"/>
              <w:rPr>
                <w:bCs/>
              </w:rPr>
            </w:pPr>
          </w:p>
          <w:p w14:paraId="7125F93B" w14:textId="77777777" w:rsidR="00C463BC" w:rsidRDefault="00C463BC" w:rsidP="00F55E72">
            <w:pPr>
              <w:widowControl w:val="0"/>
              <w:rPr>
                <w:bCs/>
              </w:rPr>
            </w:pPr>
          </w:p>
          <w:p w14:paraId="7125F93C" w14:textId="77777777" w:rsidR="00C463BC" w:rsidRDefault="00C463BC" w:rsidP="00F55E72">
            <w:pPr>
              <w:widowControl w:val="0"/>
              <w:rPr>
                <w:bCs/>
              </w:rPr>
            </w:pPr>
          </w:p>
          <w:p w14:paraId="7125F93D" w14:textId="77777777" w:rsidR="00C463BC" w:rsidRDefault="00C463BC" w:rsidP="00F55E72">
            <w:pPr>
              <w:widowControl w:val="0"/>
              <w:rPr>
                <w:bCs/>
              </w:rPr>
            </w:pPr>
          </w:p>
          <w:p w14:paraId="7125F93E" w14:textId="77777777" w:rsidR="00C463BC" w:rsidRDefault="00C463BC" w:rsidP="00F55E72">
            <w:pPr>
              <w:widowControl w:val="0"/>
              <w:rPr>
                <w:bCs/>
              </w:rPr>
            </w:pPr>
          </w:p>
          <w:p w14:paraId="7125F93F" w14:textId="77777777" w:rsidR="00C463BC" w:rsidRDefault="00C463BC" w:rsidP="00F55E72">
            <w:pPr>
              <w:widowControl w:val="0"/>
              <w:rPr>
                <w:bCs/>
              </w:rPr>
            </w:pPr>
          </w:p>
          <w:p w14:paraId="7125F940" w14:textId="77777777" w:rsidR="00C463BC" w:rsidRDefault="00C463BC" w:rsidP="00F55E72">
            <w:pPr>
              <w:widowControl w:val="0"/>
              <w:rPr>
                <w:bCs/>
              </w:rPr>
            </w:pPr>
          </w:p>
          <w:p w14:paraId="7125F941" w14:textId="77777777" w:rsidR="00C463BC" w:rsidRDefault="00C463BC" w:rsidP="00F55E72">
            <w:pPr>
              <w:widowControl w:val="0"/>
              <w:rPr>
                <w:bCs/>
              </w:rPr>
            </w:pPr>
          </w:p>
          <w:p w14:paraId="7125F942" w14:textId="77777777" w:rsidR="00C463BC" w:rsidRDefault="00C463BC" w:rsidP="00F55E72">
            <w:pPr>
              <w:widowControl w:val="0"/>
              <w:rPr>
                <w:bCs/>
              </w:rPr>
            </w:pPr>
          </w:p>
          <w:p w14:paraId="7125F943" w14:textId="77777777" w:rsidR="00C463BC" w:rsidRDefault="00C463BC" w:rsidP="00F55E72">
            <w:pPr>
              <w:widowControl w:val="0"/>
              <w:rPr>
                <w:bCs/>
              </w:rPr>
            </w:pPr>
          </w:p>
          <w:p w14:paraId="7125F944" w14:textId="77777777" w:rsidR="00C463BC" w:rsidRDefault="00C463BC" w:rsidP="00F55E72">
            <w:pPr>
              <w:widowControl w:val="0"/>
              <w:rPr>
                <w:bCs/>
              </w:rPr>
            </w:pPr>
          </w:p>
          <w:p w14:paraId="7125F945" w14:textId="77777777" w:rsidR="00C463BC" w:rsidRDefault="00C463BC" w:rsidP="00F55E72">
            <w:pPr>
              <w:widowControl w:val="0"/>
              <w:rPr>
                <w:bCs/>
              </w:rPr>
            </w:pPr>
          </w:p>
          <w:p w14:paraId="7125F946" w14:textId="77777777" w:rsidR="00C463BC" w:rsidRDefault="00C463BC" w:rsidP="00F55E72">
            <w:pPr>
              <w:widowControl w:val="0"/>
              <w:rPr>
                <w:bCs/>
              </w:rPr>
            </w:pPr>
          </w:p>
          <w:p w14:paraId="7125F947" w14:textId="77777777" w:rsidR="00C463BC" w:rsidRDefault="00C463BC" w:rsidP="00F55E72">
            <w:pPr>
              <w:widowControl w:val="0"/>
              <w:rPr>
                <w:bCs/>
              </w:rPr>
            </w:pPr>
          </w:p>
          <w:p w14:paraId="7125F948" w14:textId="77777777" w:rsidR="00C463BC" w:rsidRDefault="00C463BC" w:rsidP="00F55E72">
            <w:pPr>
              <w:widowControl w:val="0"/>
              <w:rPr>
                <w:bCs/>
              </w:rPr>
            </w:pPr>
          </w:p>
          <w:p w14:paraId="7125F949" w14:textId="77777777" w:rsidR="00C463BC" w:rsidRDefault="00C463BC" w:rsidP="00F55E72">
            <w:pPr>
              <w:widowControl w:val="0"/>
              <w:rPr>
                <w:bCs/>
              </w:rPr>
            </w:pPr>
          </w:p>
          <w:p w14:paraId="7125F94A" w14:textId="77777777" w:rsidR="00C463BC" w:rsidRDefault="00C463BC" w:rsidP="00F55E72">
            <w:pPr>
              <w:widowControl w:val="0"/>
              <w:rPr>
                <w:bCs/>
              </w:rPr>
            </w:pPr>
          </w:p>
          <w:p w14:paraId="7125F94B" w14:textId="77777777" w:rsidR="00C463BC" w:rsidRDefault="00C463BC" w:rsidP="00F55E72">
            <w:pPr>
              <w:widowControl w:val="0"/>
              <w:rPr>
                <w:bCs/>
              </w:rPr>
            </w:pPr>
          </w:p>
          <w:p w14:paraId="7125F94C" w14:textId="77777777" w:rsidR="00C463BC" w:rsidRDefault="00C463BC" w:rsidP="00F55E72">
            <w:pPr>
              <w:widowControl w:val="0"/>
              <w:rPr>
                <w:bCs/>
              </w:rPr>
            </w:pPr>
          </w:p>
          <w:p w14:paraId="7125F94D" w14:textId="77777777" w:rsidR="00C463BC" w:rsidRDefault="00C463BC" w:rsidP="00F55E72">
            <w:pPr>
              <w:widowControl w:val="0"/>
              <w:rPr>
                <w:bCs/>
              </w:rPr>
            </w:pPr>
          </w:p>
          <w:p w14:paraId="7125F94E" w14:textId="77777777" w:rsidR="00C463BC" w:rsidRDefault="00C463BC" w:rsidP="00F55E72">
            <w:pPr>
              <w:widowControl w:val="0"/>
              <w:rPr>
                <w:bCs/>
              </w:rPr>
            </w:pPr>
          </w:p>
          <w:p w14:paraId="7125F94F" w14:textId="77777777" w:rsidR="00C463BC" w:rsidRDefault="00C463BC" w:rsidP="00F55E72">
            <w:pPr>
              <w:widowControl w:val="0"/>
              <w:rPr>
                <w:bCs/>
              </w:rPr>
            </w:pPr>
          </w:p>
          <w:p w14:paraId="7125F950" w14:textId="77777777" w:rsidR="00C463BC" w:rsidRDefault="00C463BC" w:rsidP="00F55E72">
            <w:pPr>
              <w:widowControl w:val="0"/>
              <w:rPr>
                <w:bCs/>
              </w:rPr>
            </w:pPr>
          </w:p>
          <w:p w14:paraId="7125F951" w14:textId="77777777" w:rsidR="00C463BC" w:rsidRDefault="00C463BC" w:rsidP="00F55E72">
            <w:pPr>
              <w:widowControl w:val="0"/>
              <w:rPr>
                <w:bCs/>
              </w:rPr>
            </w:pPr>
          </w:p>
          <w:p w14:paraId="7125F952" w14:textId="77777777" w:rsidR="00C463BC" w:rsidRDefault="00C463BC" w:rsidP="00F55E72">
            <w:pPr>
              <w:widowControl w:val="0"/>
              <w:rPr>
                <w:bCs/>
              </w:rPr>
            </w:pPr>
          </w:p>
          <w:p w14:paraId="7125F953" w14:textId="77777777" w:rsidR="00C463BC" w:rsidRDefault="00C463BC" w:rsidP="00F55E72">
            <w:pPr>
              <w:widowControl w:val="0"/>
              <w:rPr>
                <w:bCs/>
              </w:rPr>
            </w:pPr>
            <w:r>
              <w:rPr>
                <w:bCs/>
              </w:rPr>
              <w:t xml:space="preserve">Frances Marshall </w:t>
            </w:r>
          </w:p>
          <w:p w14:paraId="7125F954" w14:textId="77777777" w:rsidR="00C463BC" w:rsidRPr="009D4437" w:rsidRDefault="00C463BC" w:rsidP="00F55E72">
            <w:pPr>
              <w:widowControl w:val="0"/>
              <w:rPr>
                <w:bCs/>
              </w:rPr>
            </w:pPr>
          </w:p>
        </w:tc>
      </w:tr>
    </w:tbl>
    <w:p w14:paraId="7125F956" w14:textId="77777777" w:rsidR="00C463BC" w:rsidRPr="009D4437" w:rsidRDefault="00C463BC" w:rsidP="00C463BC">
      <w:pPr>
        <w:rPr>
          <w:vanish/>
        </w:rPr>
      </w:pPr>
      <w:r>
        <w:rPr>
          <w:vanish/>
        </w:rPr>
        <w:lastRenderedPageBreak/>
        <w:t>&lt;/AI1&gt;</w:t>
      </w:r>
    </w:p>
    <w:p w14:paraId="7125F957" w14:textId="77777777" w:rsidR="00C463BC" w:rsidRPr="009D4437" w:rsidRDefault="00C463BC" w:rsidP="00C463BC">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463BC" w:rsidRPr="009D4437" w14:paraId="7125F974" w14:textId="77777777" w:rsidTr="00F55E72">
        <w:tc>
          <w:tcPr>
            <w:tcW w:w="720" w:type="dxa"/>
          </w:tcPr>
          <w:p w14:paraId="7125F958" w14:textId="77777777" w:rsidR="00C463BC" w:rsidRPr="009D4437" w:rsidRDefault="00C463BC" w:rsidP="00C463BC">
            <w:pPr>
              <w:numPr>
                <w:ilvl w:val="0"/>
                <w:numId w:val="1"/>
              </w:numPr>
              <w:rPr>
                <w:szCs w:val="22"/>
              </w:rPr>
            </w:pPr>
            <w:r>
              <w:rPr>
                <w:szCs w:val="22"/>
              </w:rPr>
              <w:t xml:space="preserve"> </w:t>
            </w:r>
          </w:p>
        </w:tc>
        <w:tc>
          <w:tcPr>
            <w:tcW w:w="7488" w:type="dxa"/>
          </w:tcPr>
          <w:p w14:paraId="7125F959" w14:textId="77777777" w:rsidR="00C463BC" w:rsidRPr="009D4437" w:rsidRDefault="00C463BC" w:rsidP="00F55E72">
            <w:pPr>
              <w:widowControl w:val="0"/>
              <w:rPr>
                <w:rFonts w:ascii="Arial Bold" w:hAnsi="Arial Bold"/>
                <w:b/>
                <w:szCs w:val="22"/>
              </w:rPr>
            </w:pPr>
            <w:r>
              <w:rPr>
                <w:rFonts w:ascii="Arial Bold" w:hAnsi="Arial Bold"/>
                <w:b/>
                <w:szCs w:val="22"/>
              </w:rPr>
              <w:t>Round-up of activity: Board EU lobbying priorities, institutions and international activities</w:t>
            </w:r>
          </w:p>
          <w:p w14:paraId="7125F95A" w14:textId="77777777" w:rsidR="00C463BC" w:rsidRDefault="00C463BC" w:rsidP="00F55E72">
            <w:pPr>
              <w:widowControl w:val="0"/>
              <w:rPr>
                <w:rFonts w:ascii="Arial Bold" w:hAnsi="Arial Bold"/>
                <w:b/>
              </w:rPr>
            </w:pPr>
          </w:p>
          <w:p w14:paraId="7125F95B" w14:textId="77777777" w:rsidR="00C463BC" w:rsidRDefault="00C463BC" w:rsidP="00F55E72">
            <w:pPr>
              <w:widowControl w:val="0"/>
              <w:rPr>
                <w:rFonts w:cs="Arial"/>
              </w:rPr>
            </w:pPr>
            <w:r>
              <w:rPr>
                <w:rFonts w:cs="Arial"/>
              </w:rPr>
              <w:t xml:space="preserve">Ian Hughes (Head of Programme) briefly summarised the report which gave an overview of recent developments: in the Board’s key priority topic areas; in the European and international bodies to which the Board nominates members; and the LGA’s international activities.    </w:t>
            </w:r>
          </w:p>
          <w:p w14:paraId="7125F95C" w14:textId="77777777" w:rsidR="00C463BC" w:rsidRDefault="00C463BC" w:rsidP="00F55E72">
            <w:pPr>
              <w:widowControl w:val="0"/>
              <w:rPr>
                <w:rFonts w:cs="Arial"/>
              </w:rPr>
            </w:pPr>
          </w:p>
          <w:p w14:paraId="7125F95D" w14:textId="77777777" w:rsidR="00C463BC" w:rsidRPr="00C40D82" w:rsidRDefault="00C463BC" w:rsidP="00F55E72">
            <w:pPr>
              <w:widowControl w:val="0"/>
              <w:rPr>
                <w:rFonts w:cs="Arial"/>
                <w:szCs w:val="22"/>
              </w:rPr>
            </w:pPr>
            <w:r w:rsidRPr="00AC1E70">
              <w:rPr>
                <w:rFonts w:cs="Arial"/>
                <w:szCs w:val="22"/>
              </w:rPr>
              <w:t xml:space="preserve">In the discussion that followed, a number of comments were made, including: </w:t>
            </w:r>
          </w:p>
          <w:p w14:paraId="7125F95E" w14:textId="77777777" w:rsidR="00C463BC" w:rsidRDefault="00C463BC" w:rsidP="00F55E72">
            <w:pPr>
              <w:widowControl w:val="0"/>
              <w:rPr>
                <w:rFonts w:cs="Arial"/>
              </w:rPr>
            </w:pPr>
          </w:p>
          <w:p w14:paraId="7125F95F" w14:textId="77777777" w:rsidR="00C463BC" w:rsidRDefault="00C463BC" w:rsidP="00C463BC">
            <w:pPr>
              <w:widowControl w:val="0"/>
              <w:numPr>
                <w:ilvl w:val="0"/>
                <w:numId w:val="3"/>
              </w:numPr>
              <w:rPr>
                <w:rFonts w:cs="Arial"/>
              </w:rPr>
            </w:pPr>
            <w:r>
              <w:rPr>
                <w:rFonts w:cs="Arial"/>
              </w:rPr>
              <w:t xml:space="preserve">Cllr Sir Albert Bore, a member of the national Shadow Programme Growth Board (SPGB) </w:t>
            </w:r>
            <w:r w:rsidRPr="006A504F">
              <w:rPr>
                <w:rFonts w:cs="Arial"/>
              </w:rPr>
              <w:t>which oversees EU funds</w:t>
            </w:r>
            <w:r>
              <w:rPr>
                <w:rFonts w:cs="Arial"/>
              </w:rPr>
              <w:t xml:space="preserve">, updated Members on the outcomes from the second meeting of the Shadow Board.  In doing so he commented on the willingness of Ministers to engage with the Board and local government.   </w:t>
            </w:r>
          </w:p>
          <w:p w14:paraId="7125F960" w14:textId="77777777" w:rsidR="00C463BC" w:rsidRDefault="00C463BC" w:rsidP="00F55E72">
            <w:pPr>
              <w:widowControl w:val="0"/>
              <w:ind w:left="720"/>
              <w:rPr>
                <w:rFonts w:cs="Arial"/>
              </w:rPr>
            </w:pPr>
          </w:p>
          <w:p w14:paraId="7125F961" w14:textId="77777777" w:rsidR="00C463BC" w:rsidRPr="00FD0907" w:rsidRDefault="00C463BC" w:rsidP="00F55E72">
            <w:pPr>
              <w:widowControl w:val="0"/>
              <w:numPr>
                <w:ilvl w:val="0"/>
                <w:numId w:val="3"/>
              </w:numPr>
              <w:rPr>
                <w:rFonts w:cs="Arial"/>
              </w:rPr>
            </w:pPr>
            <w:r w:rsidRPr="00FD0907">
              <w:rPr>
                <w:rFonts w:cs="Arial"/>
              </w:rPr>
              <w:t xml:space="preserve">With reference to the cessation of the European and International Board under the proposed changes to the LGA governance structure, Member asked for a report to be brought to </w:t>
            </w:r>
            <w:r w:rsidR="00FD0907" w:rsidRPr="00FD0907">
              <w:rPr>
                <w:rFonts w:cs="Arial"/>
              </w:rPr>
              <w:t xml:space="preserve">a future </w:t>
            </w:r>
            <w:r w:rsidRPr="00FD0907">
              <w:rPr>
                <w:rFonts w:cs="Arial"/>
              </w:rPr>
              <w:t xml:space="preserve">meeting outlining the important relationships which the Board manages and how these will be maintained within the new governance structure.  </w:t>
            </w:r>
          </w:p>
          <w:p w14:paraId="7125F962" w14:textId="77777777" w:rsidR="00FD0907" w:rsidRPr="00FD0907" w:rsidRDefault="00FD0907" w:rsidP="00FD0907">
            <w:pPr>
              <w:widowControl w:val="0"/>
              <w:rPr>
                <w:rFonts w:cs="Arial"/>
              </w:rPr>
            </w:pPr>
          </w:p>
          <w:p w14:paraId="7125F963" w14:textId="77777777" w:rsidR="00C463BC" w:rsidRPr="00A65F31" w:rsidRDefault="00C463BC" w:rsidP="00C463BC">
            <w:pPr>
              <w:widowControl w:val="0"/>
              <w:numPr>
                <w:ilvl w:val="0"/>
                <w:numId w:val="3"/>
              </w:numPr>
              <w:rPr>
                <w:rFonts w:cs="Arial"/>
              </w:rPr>
            </w:pPr>
            <w:r>
              <w:rPr>
                <w:rFonts w:cs="Arial"/>
              </w:rPr>
              <w:t xml:space="preserve">Concerns were expressed regarding the length of time </w:t>
            </w:r>
            <w:r w:rsidRPr="005E696E">
              <w:rPr>
                <w:rFonts w:cs="Arial"/>
                <w:szCs w:val="22"/>
              </w:rPr>
              <w:t xml:space="preserve">Whitehall </w:t>
            </w:r>
            <w:r>
              <w:rPr>
                <w:rFonts w:cs="Arial"/>
                <w:szCs w:val="22"/>
              </w:rPr>
              <w:t xml:space="preserve">took to ratify member appointments to the Committee of the Regions. It was noted that these issues were being raised at a political level.   </w:t>
            </w:r>
            <w:r>
              <w:rPr>
                <w:rFonts w:cs="Arial"/>
              </w:rPr>
              <w:t xml:space="preserve"> </w:t>
            </w:r>
          </w:p>
          <w:p w14:paraId="7125F964" w14:textId="77777777" w:rsidR="00C463BC" w:rsidRDefault="00C463BC" w:rsidP="00F55E72">
            <w:pPr>
              <w:widowControl w:val="0"/>
              <w:rPr>
                <w:rFonts w:cs="Arial"/>
              </w:rPr>
            </w:pPr>
          </w:p>
          <w:tbl>
            <w:tblPr>
              <w:tblW w:w="10456" w:type="dxa"/>
              <w:tblLayout w:type="fixed"/>
              <w:tblLook w:val="01E0" w:firstRow="1" w:lastRow="1" w:firstColumn="1" w:lastColumn="1" w:noHBand="0" w:noVBand="0"/>
            </w:tblPr>
            <w:tblGrid>
              <w:gridCol w:w="10456"/>
            </w:tblGrid>
            <w:tr w:rsidR="00C463BC" w14:paraId="7125F966" w14:textId="77777777" w:rsidTr="00F55E72">
              <w:trPr>
                <w:trHeight w:val="68"/>
              </w:trPr>
              <w:tc>
                <w:tcPr>
                  <w:tcW w:w="7796" w:type="dxa"/>
                  <w:hideMark/>
                </w:tcPr>
                <w:p w14:paraId="7125F965" w14:textId="77777777" w:rsidR="00C463BC" w:rsidRDefault="00C463BC" w:rsidP="00F55E72">
                  <w:pPr>
                    <w:tabs>
                      <w:tab w:val="right" w:pos="9923"/>
                    </w:tabs>
                    <w:spacing w:line="280" w:lineRule="exact"/>
                    <w:rPr>
                      <w:rFonts w:cs="Arial"/>
                      <w:b/>
                    </w:rPr>
                  </w:pPr>
                  <w:r>
                    <w:rPr>
                      <w:rFonts w:cs="Arial"/>
                      <w:b/>
                      <w:u w:val="single"/>
                    </w:rPr>
                    <w:lastRenderedPageBreak/>
                    <w:t>Decision</w:t>
                  </w:r>
                </w:p>
              </w:tc>
            </w:tr>
            <w:tr w:rsidR="00C463BC" w14:paraId="7125F968" w14:textId="77777777" w:rsidTr="00F55E72">
              <w:tc>
                <w:tcPr>
                  <w:tcW w:w="7796" w:type="dxa"/>
                </w:tcPr>
                <w:p w14:paraId="7125F967" w14:textId="77777777" w:rsidR="00C463BC" w:rsidRDefault="00C463BC" w:rsidP="00F55E72">
                  <w:pPr>
                    <w:tabs>
                      <w:tab w:val="right" w:pos="9923"/>
                    </w:tabs>
                    <w:spacing w:line="280" w:lineRule="exact"/>
                    <w:rPr>
                      <w:rFonts w:cs="Arial"/>
                      <w:b/>
                    </w:rPr>
                  </w:pPr>
                </w:p>
              </w:tc>
            </w:tr>
            <w:tr w:rsidR="00C463BC" w14:paraId="7125F971" w14:textId="77777777" w:rsidTr="00F55E72">
              <w:tc>
                <w:tcPr>
                  <w:tcW w:w="7796" w:type="dxa"/>
                  <w:hideMark/>
                </w:tcPr>
                <w:p w14:paraId="7125F969" w14:textId="77777777" w:rsidR="00C463BC" w:rsidRDefault="00C463BC" w:rsidP="00F55E72">
                  <w:pPr>
                    <w:tabs>
                      <w:tab w:val="right" w:pos="9923"/>
                    </w:tabs>
                    <w:spacing w:line="280" w:lineRule="exact"/>
                    <w:rPr>
                      <w:rFonts w:cs="Arial"/>
                    </w:rPr>
                  </w:pPr>
                  <w:r>
                    <w:rPr>
                      <w:rFonts w:cs="Arial"/>
                    </w:rPr>
                    <w:t xml:space="preserve">That the Board </w:t>
                  </w:r>
                  <w:r>
                    <w:rPr>
                      <w:rFonts w:cs="Arial"/>
                      <w:b/>
                    </w:rPr>
                    <w:t>noted</w:t>
                  </w:r>
                  <w:r>
                    <w:rPr>
                      <w:rFonts w:cs="Arial"/>
                    </w:rPr>
                    <w:t xml:space="preserve"> the report. </w:t>
                  </w:r>
                </w:p>
                <w:p w14:paraId="7125F96A" w14:textId="77777777" w:rsidR="00C463BC" w:rsidRDefault="00C463BC" w:rsidP="00F55E72">
                  <w:pPr>
                    <w:tabs>
                      <w:tab w:val="right" w:pos="9923"/>
                    </w:tabs>
                    <w:spacing w:line="280" w:lineRule="exact"/>
                    <w:rPr>
                      <w:rFonts w:cs="Arial"/>
                    </w:rPr>
                  </w:pPr>
                </w:p>
                <w:p w14:paraId="7125F96B" w14:textId="77777777" w:rsidR="00C463BC" w:rsidRPr="00D04E41" w:rsidRDefault="00C463BC" w:rsidP="00F55E72">
                  <w:pPr>
                    <w:tabs>
                      <w:tab w:val="right" w:pos="9923"/>
                    </w:tabs>
                    <w:spacing w:line="280" w:lineRule="exact"/>
                    <w:rPr>
                      <w:rFonts w:cs="Arial"/>
                      <w:b/>
                      <w:u w:val="single"/>
                    </w:rPr>
                  </w:pPr>
                  <w:r w:rsidRPr="00D04E41">
                    <w:rPr>
                      <w:rFonts w:cs="Arial"/>
                      <w:b/>
                      <w:u w:val="single"/>
                    </w:rPr>
                    <w:t>Action</w:t>
                  </w:r>
                </w:p>
                <w:p w14:paraId="7125F96C" w14:textId="77777777" w:rsidR="00C463BC" w:rsidRDefault="00C463BC" w:rsidP="00F55E72">
                  <w:pPr>
                    <w:tabs>
                      <w:tab w:val="right" w:pos="9923"/>
                    </w:tabs>
                    <w:spacing w:line="280" w:lineRule="exact"/>
                    <w:rPr>
                      <w:rFonts w:cs="Arial"/>
                    </w:rPr>
                  </w:pPr>
                </w:p>
                <w:p w14:paraId="7125F96D" w14:textId="77777777" w:rsidR="00C463BC" w:rsidRDefault="00FD0907" w:rsidP="00F55E72">
                  <w:pPr>
                    <w:tabs>
                      <w:tab w:val="right" w:pos="9923"/>
                    </w:tabs>
                    <w:spacing w:line="280" w:lineRule="exact"/>
                    <w:rPr>
                      <w:rFonts w:cs="Arial"/>
                    </w:rPr>
                  </w:pPr>
                  <w:r>
                    <w:rPr>
                      <w:rFonts w:cs="Arial"/>
                    </w:rPr>
                    <w:t xml:space="preserve">Bring a report to a future </w:t>
                  </w:r>
                  <w:r w:rsidR="00C463BC">
                    <w:rPr>
                      <w:rFonts w:cs="Arial"/>
                    </w:rPr>
                    <w:t>Board meeting setting out the important</w:t>
                  </w:r>
                </w:p>
                <w:p w14:paraId="7125F96E" w14:textId="77777777" w:rsidR="00C463BC" w:rsidRDefault="00C463BC" w:rsidP="00F55E72">
                  <w:pPr>
                    <w:tabs>
                      <w:tab w:val="right" w:pos="9923"/>
                    </w:tabs>
                    <w:spacing w:line="280" w:lineRule="exact"/>
                    <w:rPr>
                      <w:rFonts w:cs="Arial"/>
                    </w:rPr>
                  </w:pPr>
                  <w:r>
                    <w:rPr>
                      <w:rFonts w:cs="Arial"/>
                    </w:rPr>
                    <w:t>relationships which the Board manages and how these will be maintained</w:t>
                  </w:r>
                </w:p>
                <w:p w14:paraId="7125F96F" w14:textId="77777777" w:rsidR="00C463BC" w:rsidRDefault="00C463BC" w:rsidP="00F55E72">
                  <w:pPr>
                    <w:tabs>
                      <w:tab w:val="right" w:pos="9923"/>
                    </w:tabs>
                    <w:spacing w:line="280" w:lineRule="exact"/>
                    <w:rPr>
                      <w:rFonts w:cs="Arial"/>
                    </w:rPr>
                  </w:pPr>
                  <w:proofErr w:type="gramStart"/>
                  <w:r>
                    <w:rPr>
                      <w:rFonts w:cs="Arial"/>
                    </w:rPr>
                    <w:t>within</w:t>
                  </w:r>
                  <w:proofErr w:type="gramEnd"/>
                  <w:r>
                    <w:rPr>
                      <w:rFonts w:cs="Arial"/>
                    </w:rPr>
                    <w:t xml:space="preserve"> the new governance structure. </w:t>
                  </w:r>
                </w:p>
                <w:p w14:paraId="7125F970" w14:textId="77777777" w:rsidR="00C463BC" w:rsidRDefault="00C463BC" w:rsidP="00F55E72">
                  <w:pPr>
                    <w:tabs>
                      <w:tab w:val="right" w:pos="9923"/>
                    </w:tabs>
                    <w:spacing w:line="280" w:lineRule="exact"/>
                    <w:rPr>
                      <w:rFonts w:cs="Arial"/>
                    </w:rPr>
                  </w:pPr>
                </w:p>
              </w:tc>
            </w:tr>
          </w:tbl>
          <w:p w14:paraId="7125F972" w14:textId="77777777" w:rsidR="00C463BC" w:rsidRPr="009D4437" w:rsidRDefault="00C463BC" w:rsidP="00F55E72">
            <w:pPr>
              <w:widowControl w:val="0"/>
              <w:rPr>
                <w:rFonts w:ascii="Arial Bold" w:hAnsi="Arial Bold"/>
                <w:b/>
              </w:rPr>
            </w:pPr>
          </w:p>
        </w:tc>
        <w:tc>
          <w:tcPr>
            <w:tcW w:w="1584" w:type="dxa"/>
          </w:tcPr>
          <w:p w14:paraId="7125F973" w14:textId="77777777" w:rsidR="00C463BC" w:rsidRPr="009D4437" w:rsidRDefault="00C463BC" w:rsidP="00F55E72">
            <w:pPr>
              <w:widowControl w:val="0"/>
              <w:rPr>
                <w:bCs/>
              </w:rPr>
            </w:pPr>
          </w:p>
        </w:tc>
      </w:tr>
    </w:tbl>
    <w:p w14:paraId="7125F975" w14:textId="77777777" w:rsidR="00C463BC" w:rsidRPr="009D4437" w:rsidRDefault="00C463BC" w:rsidP="00C463BC">
      <w:pPr>
        <w:rPr>
          <w:vanish/>
        </w:rPr>
      </w:pPr>
      <w:r>
        <w:rPr>
          <w:vanish/>
        </w:rPr>
        <w:lastRenderedPageBreak/>
        <w:t>&lt;/AI2&gt;</w:t>
      </w:r>
    </w:p>
    <w:p w14:paraId="7125F976" w14:textId="77777777" w:rsidR="00C463BC" w:rsidRPr="009D4437" w:rsidRDefault="00C463BC" w:rsidP="00C463BC">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463BC" w:rsidRPr="009D4437" w14:paraId="7125F97F" w14:textId="77777777" w:rsidTr="00F55E72">
        <w:tc>
          <w:tcPr>
            <w:tcW w:w="720" w:type="dxa"/>
          </w:tcPr>
          <w:p w14:paraId="7125F977" w14:textId="77777777" w:rsidR="00C463BC" w:rsidRPr="009D4437" w:rsidRDefault="00C463BC" w:rsidP="00C463BC">
            <w:pPr>
              <w:numPr>
                <w:ilvl w:val="0"/>
                <w:numId w:val="1"/>
              </w:numPr>
              <w:rPr>
                <w:szCs w:val="22"/>
              </w:rPr>
            </w:pPr>
            <w:r>
              <w:rPr>
                <w:szCs w:val="22"/>
              </w:rPr>
              <w:t xml:space="preserve"> </w:t>
            </w:r>
          </w:p>
        </w:tc>
        <w:tc>
          <w:tcPr>
            <w:tcW w:w="7488" w:type="dxa"/>
          </w:tcPr>
          <w:p w14:paraId="7125F978" w14:textId="77777777" w:rsidR="00C463BC" w:rsidRPr="009D4437" w:rsidRDefault="00C463BC" w:rsidP="00F55E72">
            <w:pPr>
              <w:widowControl w:val="0"/>
              <w:rPr>
                <w:rFonts w:ascii="Arial Bold" w:hAnsi="Arial Bold"/>
                <w:b/>
                <w:szCs w:val="22"/>
              </w:rPr>
            </w:pPr>
            <w:r>
              <w:rPr>
                <w:rFonts w:ascii="Arial Bold" w:hAnsi="Arial Bold"/>
                <w:b/>
                <w:szCs w:val="22"/>
              </w:rPr>
              <w:t>Note of the last meeting</w:t>
            </w:r>
          </w:p>
          <w:p w14:paraId="7125F979" w14:textId="77777777" w:rsidR="00C463BC" w:rsidRDefault="00C463BC" w:rsidP="00F55E72">
            <w:pPr>
              <w:widowControl w:val="0"/>
              <w:rPr>
                <w:rFonts w:ascii="Arial Bold" w:hAnsi="Arial Bold"/>
                <w:b/>
              </w:rPr>
            </w:pPr>
          </w:p>
          <w:p w14:paraId="7125F97A" w14:textId="77777777" w:rsidR="00C463BC" w:rsidRDefault="00C463BC" w:rsidP="00F55E72">
            <w:pPr>
              <w:widowControl w:val="0"/>
              <w:rPr>
                <w:rFonts w:cs="Arial"/>
              </w:rPr>
            </w:pPr>
            <w:r>
              <w:rPr>
                <w:rFonts w:cs="Arial"/>
              </w:rPr>
              <w:t xml:space="preserve">The notes of the last meeting held on 15 October were </w:t>
            </w:r>
            <w:r>
              <w:rPr>
                <w:rFonts w:cs="Arial"/>
                <w:b/>
              </w:rPr>
              <w:t>agreed</w:t>
            </w:r>
            <w:r>
              <w:rPr>
                <w:rFonts w:cs="Arial"/>
              </w:rPr>
              <w:t xml:space="preserve"> as a correct record.</w:t>
            </w:r>
          </w:p>
          <w:p w14:paraId="7125F97B" w14:textId="77777777" w:rsidR="00C463BC" w:rsidRDefault="00C463BC" w:rsidP="00F55E72">
            <w:pPr>
              <w:widowControl w:val="0"/>
              <w:rPr>
                <w:rFonts w:ascii="Arial Bold" w:hAnsi="Arial Bold"/>
                <w:b/>
              </w:rPr>
            </w:pPr>
          </w:p>
          <w:p w14:paraId="7125F97C" w14:textId="77777777" w:rsidR="00C463BC" w:rsidRDefault="00C463BC" w:rsidP="00F55E72">
            <w:pPr>
              <w:rPr>
                <w:rFonts w:ascii="Arial Bold" w:hAnsi="Arial Bold"/>
                <w:b/>
                <w:szCs w:val="22"/>
              </w:rPr>
            </w:pPr>
            <w:r>
              <w:br w:type="page"/>
            </w:r>
            <w:r>
              <w:rPr>
                <w:b/>
              </w:rPr>
              <w:t>PART 2</w:t>
            </w:r>
            <w:r w:rsidRPr="009C73A5">
              <w:rPr>
                <w:b/>
              </w:rPr>
              <w:t xml:space="preserve">: </w:t>
            </w:r>
            <w:r>
              <w:rPr>
                <w:b/>
              </w:rPr>
              <w:t xml:space="preserve">THEMED SESSION ON </w:t>
            </w:r>
            <w:r>
              <w:rPr>
                <w:rFonts w:ascii="Arial Bold" w:hAnsi="Arial Bold"/>
                <w:b/>
                <w:szCs w:val="22"/>
              </w:rPr>
              <w:t>EUROPEAN STRUCTURAL AND INVESTMENT FUNDS</w:t>
            </w:r>
          </w:p>
          <w:p w14:paraId="7125F97D" w14:textId="77777777" w:rsidR="00C463BC" w:rsidRPr="009C73A5" w:rsidRDefault="00C463BC" w:rsidP="00F55E72">
            <w:pPr>
              <w:rPr>
                <w:b/>
              </w:rPr>
            </w:pPr>
          </w:p>
        </w:tc>
        <w:tc>
          <w:tcPr>
            <w:tcW w:w="1584" w:type="dxa"/>
          </w:tcPr>
          <w:p w14:paraId="7125F97E" w14:textId="77777777" w:rsidR="00C463BC" w:rsidRPr="009D4437" w:rsidRDefault="00C463BC" w:rsidP="00F55E72">
            <w:pPr>
              <w:widowControl w:val="0"/>
              <w:rPr>
                <w:bCs/>
              </w:rPr>
            </w:pPr>
          </w:p>
        </w:tc>
      </w:tr>
    </w:tbl>
    <w:p w14:paraId="7125F980" w14:textId="77777777" w:rsidR="00C463BC" w:rsidRPr="009D4437" w:rsidRDefault="00C463BC" w:rsidP="00C463BC">
      <w:pPr>
        <w:rPr>
          <w:vanish/>
        </w:rPr>
      </w:pPr>
      <w:r>
        <w:rPr>
          <w:vanish/>
        </w:rPr>
        <w:t>&lt;/AI3&gt;</w:t>
      </w:r>
    </w:p>
    <w:p w14:paraId="7125F981" w14:textId="77777777" w:rsidR="00C463BC" w:rsidRPr="009D4437" w:rsidRDefault="00C463BC" w:rsidP="00C463BC">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463BC" w:rsidRPr="009D4437" w14:paraId="7125F988" w14:textId="77777777" w:rsidTr="00F55E72">
        <w:tc>
          <w:tcPr>
            <w:tcW w:w="720" w:type="dxa"/>
          </w:tcPr>
          <w:p w14:paraId="7125F982" w14:textId="77777777" w:rsidR="00C463BC" w:rsidRPr="009D4437" w:rsidRDefault="00C463BC" w:rsidP="00C463BC">
            <w:pPr>
              <w:numPr>
                <w:ilvl w:val="0"/>
                <w:numId w:val="1"/>
              </w:numPr>
              <w:rPr>
                <w:szCs w:val="22"/>
              </w:rPr>
            </w:pPr>
          </w:p>
        </w:tc>
        <w:tc>
          <w:tcPr>
            <w:tcW w:w="7488" w:type="dxa"/>
          </w:tcPr>
          <w:p w14:paraId="7125F983" w14:textId="77777777" w:rsidR="00C463BC" w:rsidRDefault="00C463BC" w:rsidP="00F55E72">
            <w:pPr>
              <w:spacing w:before="120" w:after="120"/>
              <w:rPr>
                <w:rFonts w:cs="Arial"/>
                <w:b/>
                <w:szCs w:val="22"/>
              </w:rPr>
            </w:pPr>
            <w:r>
              <w:rPr>
                <w:rFonts w:cs="Arial"/>
                <w:b/>
                <w:szCs w:val="22"/>
              </w:rPr>
              <w:t xml:space="preserve">European </w:t>
            </w:r>
            <w:r w:rsidRPr="009273F2">
              <w:rPr>
                <w:rFonts w:cs="Arial"/>
                <w:b/>
                <w:szCs w:val="22"/>
              </w:rPr>
              <w:t>Structural and Investment Funds</w:t>
            </w:r>
            <w:r>
              <w:rPr>
                <w:rFonts w:cs="Arial"/>
                <w:b/>
                <w:szCs w:val="22"/>
              </w:rPr>
              <w:t>: The local perspective</w:t>
            </w:r>
            <w:r w:rsidRPr="00417AD1">
              <w:rPr>
                <w:rFonts w:cs="Arial"/>
                <w:b/>
                <w:szCs w:val="22"/>
              </w:rPr>
              <w:t xml:space="preserve"> </w:t>
            </w:r>
          </w:p>
          <w:p w14:paraId="7125F984" w14:textId="77777777" w:rsidR="00C463BC" w:rsidRDefault="00C463BC" w:rsidP="00F55E72">
            <w:pPr>
              <w:widowControl w:val="0"/>
              <w:rPr>
                <w:rFonts w:cs="Arial"/>
              </w:rPr>
            </w:pPr>
          </w:p>
          <w:p w14:paraId="7125F985" w14:textId="77777777" w:rsidR="00C463BC" w:rsidRDefault="00C463BC" w:rsidP="00F55E72">
            <w:pPr>
              <w:widowControl w:val="0"/>
              <w:rPr>
                <w:rFonts w:cs="Arial"/>
                <w:iCs/>
                <w:color w:val="000000"/>
                <w:szCs w:val="22"/>
              </w:rPr>
            </w:pPr>
            <w:r w:rsidRPr="00362DE2">
              <w:rPr>
                <w:rFonts w:cs="Arial"/>
              </w:rPr>
              <w:t>There</w:t>
            </w:r>
            <w:r>
              <w:rPr>
                <w:rFonts w:cs="Arial"/>
              </w:rPr>
              <w:t xml:space="preserve"> followed an informal themed session on WCC’s use of European Structural and Investment Funds (ESIF) to </w:t>
            </w:r>
            <w:r>
              <w:rPr>
                <w:rFonts w:cs="Arial"/>
                <w:iCs/>
                <w:color w:val="000000"/>
                <w:szCs w:val="22"/>
              </w:rPr>
              <w:t>drive growth and prosperity,</w:t>
            </w:r>
            <w:r>
              <w:rPr>
                <w:rFonts w:cs="Arial"/>
              </w:rPr>
              <w:t xml:space="preserve"> which was presented by Cllr Liz Eyre (WCC’s </w:t>
            </w:r>
            <w:r w:rsidRPr="00362DE2">
              <w:rPr>
                <w:rFonts w:cs="Arial"/>
              </w:rPr>
              <w:t>Cabinet Member for Children and Families</w:t>
            </w:r>
            <w:r>
              <w:rPr>
                <w:rFonts w:cs="Arial"/>
              </w:rPr>
              <w:t xml:space="preserve">) and </w:t>
            </w:r>
            <w:r w:rsidRPr="00362DE2">
              <w:rPr>
                <w:rFonts w:cs="Arial"/>
              </w:rPr>
              <w:t xml:space="preserve">Ahmed </w:t>
            </w:r>
            <w:proofErr w:type="spellStart"/>
            <w:r w:rsidRPr="00362DE2">
              <w:rPr>
                <w:rFonts w:cs="Arial"/>
              </w:rPr>
              <w:t>Goga</w:t>
            </w:r>
            <w:proofErr w:type="spellEnd"/>
            <w:r>
              <w:rPr>
                <w:rFonts w:cs="Arial"/>
              </w:rPr>
              <w:t xml:space="preserve"> (WCC’s </w:t>
            </w:r>
            <w:r w:rsidRPr="00362DE2">
              <w:rPr>
                <w:rFonts w:cs="Arial"/>
              </w:rPr>
              <w:t>Head of Economic Development &amp; Strategic Planning</w:t>
            </w:r>
            <w:r>
              <w:rPr>
                <w:rFonts w:cs="Arial"/>
              </w:rPr>
              <w:t xml:space="preserve">).  They provided a presentation on </w:t>
            </w:r>
            <w:r w:rsidRPr="00417AD1">
              <w:rPr>
                <w:rFonts w:cs="Arial"/>
                <w:iCs/>
                <w:color w:val="000000"/>
                <w:szCs w:val="22"/>
              </w:rPr>
              <w:t>the</w:t>
            </w:r>
            <w:r>
              <w:rPr>
                <w:rFonts w:cs="Arial"/>
                <w:iCs/>
                <w:color w:val="000000"/>
                <w:szCs w:val="22"/>
              </w:rPr>
              <w:t xml:space="preserve"> council’s role in the </w:t>
            </w:r>
            <w:r w:rsidRPr="00417AD1">
              <w:rPr>
                <w:rFonts w:cs="Arial"/>
                <w:iCs/>
                <w:color w:val="000000"/>
                <w:szCs w:val="22"/>
              </w:rPr>
              <w:t>development of the</w:t>
            </w:r>
            <w:r>
              <w:rPr>
                <w:rFonts w:cs="Arial"/>
                <w:iCs/>
                <w:color w:val="000000"/>
                <w:szCs w:val="22"/>
              </w:rPr>
              <w:t xml:space="preserve"> Worcestershire </w:t>
            </w:r>
            <w:r w:rsidRPr="00417AD1">
              <w:rPr>
                <w:rFonts w:cs="Arial"/>
                <w:iCs/>
                <w:color w:val="000000"/>
                <w:szCs w:val="22"/>
              </w:rPr>
              <w:t>L</w:t>
            </w:r>
            <w:r>
              <w:rPr>
                <w:rFonts w:cs="Arial"/>
                <w:iCs/>
                <w:color w:val="000000"/>
                <w:szCs w:val="22"/>
              </w:rPr>
              <w:t xml:space="preserve">ocal </w:t>
            </w:r>
            <w:r w:rsidRPr="00417AD1">
              <w:rPr>
                <w:rFonts w:cs="Arial"/>
                <w:iCs/>
                <w:color w:val="000000"/>
                <w:szCs w:val="22"/>
              </w:rPr>
              <w:t>E</w:t>
            </w:r>
            <w:r>
              <w:rPr>
                <w:rFonts w:cs="Arial"/>
                <w:iCs/>
                <w:color w:val="000000"/>
                <w:szCs w:val="22"/>
              </w:rPr>
              <w:t xml:space="preserve">nterprise </w:t>
            </w:r>
            <w:r w:rsidRPr="00417AD1">
              <w:rPr>
                <w:rFonts w:cs="Arial"/>
                <w:iCs/>
                <w:color w:val="000000"/>
                <w:szCs w:val="22"/>
              </w:rPr>
              <w:t>P</w:t>
            </w:r>
            <w:r>
              <w:rPr>
                <w:rFonts w:cs="Arial"/>
                <w:iCs/>
                <w:color w:val="000000"/>
                <w:szCs w:val="22"/>
              </w:rPr>
              <w:t>artnership’s Investment S</w:t>
            </w:r>
            <w:r w:rsidRPr="00417AD1">
              <w:rPr>
                <w:rFonts w:cs="Arial"/>
                <w:iCs/>
                <w:color w:val="000000"/>
                <w:szCs w:val="22"/>
              </w:rPr>
              <w:t>trategy</w:t>
            </w:r>
            <w:r>
              <w:rPr>
                <w:rFonts w:cs="Arial"/>
                <w:iCs/>
                <w:color w:val="000000"/>
                <w:szCs w:val="22"/>
              </w:rPr>
              <w:t xml:space="preserve">, the strategy’s links to WCC’s Corporate Plan and how investment of ESIF was focused on addressing the specific needs of the localities within the WCC boundaries. </w:t>
            </w:r>
          </w:p>
          <w:p w14:paraId="7125F986" w14:textId="77777777" w:rsidR="00C463BC" w:rsidRPr="009D4437" w:rsidRDefault="00C463BC" w:rsidP="00F55E72">
            <w:pPr>
              <w:widowControl w:val="0"/>
              <w:rPr>
                <w:rFonts w:ascii="Arial Bold" w:hAnsi="Arial Bold"/>
                <w:b/>
              </w:rPr>
            </w:pPr>
          </w:p>
        </w:tc>
        <w:tc>
          <w:tcPr>
            <w:tcW w:w="1584" w:type="dxa"/>
          </w:tcPr>
          <w:p w14:paraId="7125F987" w14:textId="77777777" w:rsidR="00C463BC" w:rsidRPr="009D4437" w:rsidRDefault="00C463BC" w:rsidP="00F55E72">
            <w:pPr>
              <w:widowControl w:val="0"/>
              <w:rPr>
                <w:bCs/>
              </w:rPr>
            </w:pPr>
          </w:p>
        </w:tc>
      </w:tr>
    </w:tbl>
    <w:p w14:paraId="7125F989" w14:textId="77777777" w:rsidR="00C463BC" w:rsidRPr="009D4437" w:rsidRDefault="00C463BC" w:rsidP="00C463BC">
      <w:pPr>
        <w:rPr>
          <w:vanish/>
        </w:rPr>
      </w:pPr>
      <w:r>
        <w:rPr>
          <w:vanish/>
        </w:rPr>
        <w:t>&lt;/AI4&gt;</w:t>
      </w:r>
    </w:p>
    <w:p w14:paraId="7125F98A" w14:textId="77777777" w:rsidR="00C463BC" w:rsidRPr="009D4437" w:rsidRDefault="00C463BC" w:rsidP="00C463BC">
      <w:pPr>
        <w:rPr>
          <w:vanish/>
        </w:rPr>
      </w:pPr>
      <w:r>
        <w:rPr>
          <w:vanish/>
        </w:rPr>
        <w:t>&lt;AI5&gt;</w:t>
      </w:r>
      <w:bookmarkStart w:id="1" w:name="WorkingSection"/>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463BC" w:rsidRPr="009D4437" w14:paraId="7125F98F" w14:textId="77777777" w:rsidTr="00F55E72">
        <w:tc>
          <w:tcPr>
            <w:tcW w:w="720" w:type="dxa"/>
          </w:tcPr>
          <w:p w14:paraId="7125F98B" w14:textId="77777777" w:rsidR="00C463BC" w:rsidRPr="009D4437" w:rsidRDefault="00C463BC" w:rsidP="00C463BC">
            <w:pPr>
              <w:numPr>
                <w:ilvl w:val="0"/>
                <w:numId w:val="1"/>
              </w:numPr>
              <w:rPr>
                <w:szCs w:val="22"/>
              </w:rPr>
            </w:pPr>
            <w:r>
              <w:rPr>
                <w:szCs w:val="22"/>
              </w:rPr>
              <w:t xml:space="preserve"> </w:t>
            </w:r>
          </w:p>
        </w:tc>
        <w:tc>
          <w:tcPr>
            <w:tcW w:w="7488" w:type="dxa"/>
          </w:tcPr>
          <w:p w14:paraId="7125F98C" w14:textId="77777777" w:rsidR="00C463BC" w:rsidRPr="009D4437" w:rsidRDefault="00C463BC" w:rsidP="00F55E72">
            <w:pPr>
              <w:widowControl w:val="0"/>
              <w:rPr>
                <w:rFonts w:ascii="Arial Bold" w:hAnsi="Arial Bold"/>
                <w:b/>
                <w:szCs w:val="22"/>
              </w:rPr>
            </w:pPr>
            <w:r>
              <w:rPr>
                <w:rFonts w:ascii="Arial Bold" w:hAnsi="Arial Bold"/>
                <w:b/>
                <w:szCs w:val="22"/>
              </w:rPr>
              <w:t>Visit to Malvern Hills Science Park (via bus)</w:t>
            </w:r>
          </w:p>
          <w:p w14:paraId="7125F98D" w14:textId="77777777" w:rsidR="00C463BC" w:rsidRPr="009D4437" w:rsidRDefault="00C463BC" w:rsidP="00F55E72">
            <w:pPr>
              <w:widowControl w:val="0"/>
              <w:rPr>
                <w:rFonts w:ascii="Arial Bold" w:hAnsi="Arial Bold"/>
                <w:b/>
              </w:rPr>
            </w:pPr>
          </w:p>
        </w:tc>
        <w:tc>
          <w:tcPr>
            <w:tcW w:w="1584" w:type="dxa"/>
          </w:tcPr>
          <w:p w14:paraId="7125F98E" w14:textId="77777777" w:rsidR="00C463BC" w:rsidRPr="009D4437" w:rsidRDefault="00C463BC" w:rsidP="00F55E72">
            <w:pPr>
              <w:widowControl w:val="0"/>
              <w:rPr>
                <w:bCs/>
              </w:rPr>
            </w:pPr>
          </w:p>
        </w:tc>
      </w:tr>
    </w:tbl>
    <w:bookmarkEnd w:id="1"/>
    <w:p w14:paraId="7125F990" w14:textId="77777777" w:rsidR="00C463BC" w:rsidRPr="009D4437" w:rsidRDefault="00C463BC" w:rsidP="00C463BC">
      <w:pPr>
        <w:rPr>
          <w:vanish/>
        </w:rPr>
      </w:pPr>
      <w:r>
        <w:rPr>
          <w:rFonts w:cs="Arial"/>
          <w:iCs/>
          <w:color w:val="000000"/>
          <w:szCs w:val="22"/>
        </w:rPr>
        <w:t xml:space="preserve">The themed seminar was followed by a site visit to the </w:t>
      </w:r>
      <w:r w:rsidRPr="00476C66">
        <w:rPr>
          <w:rFonts w:cs="Arial"/>
          <w:iCs/>
          <w:color w:val="000000"/>
          <w:szCs w:val="22"/>
        </w:rPr>
        <w:t>Malvern Hills Science Park</w:t>
      </w:r>
      <w:r>
        <w:rPr>
          <w:rFonts w:cs="Arial"/>
          <w:iCs/>
          <w:color w:val="000000"/>
          <w:szCs w:val="22"/>
        </w:rPr>
        <w:t xml:space="preserve"> which </w:t>
      </w:r>
      <w:r w:rsidRPr="00201AC6">
        <w:rPr>
          <w:rFonts w:cs="Arial"/>
          <w:iCs/>
          <w:color w:val="000000"/>
          <w:szCs w:val="22"/>
        </w:rPr>
        <w:t>is a focal point for Worcestershire ERDF funded projects around growing the cyber s</w:t>
      </w:r>
      <w:r>
        <w:rPr>
          <w:rFonts w:cs="Arial"/>
          <w:iCs/>
          <w:color w:val="000000"/>
          <w:szCs w:val="22"/>
        </w:rPr>
        <w:t xml:space="preserve">ector and proof of concept fund.  </w:t>
      </w:r>
      <w:r w:rsidRPr="00201AC6">
        <w:rPr>
          <w:rFonts w:cs="Arial"/>
          <w:iCs/>
          <w:color w:val="000000"/>
          <w:szCs w:val="22"/>
        </w:rPr>
        <w:t xml:space="preserve"> </w:t>
      </w:r>
      <w:r>
        <w:rPr>
          <w:vanish/>
        </w:rPr>
        <w:t>&lt;/AI5&gt;</w:t>
      </w:r>
    </w:p>
    <w:p w14:paraId="7125F991" w14:textId="77777777" w:rsidR="00C463BC" w:rsidRPr="0049568B" w:rsidRDefault="00C463BC" w:rsidP="00C463BC">
      <w:pPr>
        <w:rPr>
          <w:vanish/>
        </w:rPr>
      </w:pPr>
      <w:r>
        <w:rPr>
          <w:vanish/>
        </w:rPr>
        <w:t>&lt;TRAILER_SECTION&gt;</w:t>
      </w:r>
    </w:p>
    <w:p w14:paraId="7125F992" w14:textId="77777777" w:rsidR="00C463BC" w:rsidRPr="00416E2E" w:rsidRDefault="00C463BC" w:rsidP="00C463BC"/>
    <w:p w14:paraId="7125F993" w14:textId="77777777" w:rsidR="00C463BC" w:rsidRPr="00416E2E" w:rsidRDefault="00C463BC" w:rsidP="00C463BC"/>
    <w:p w14:paraId="7125F994" w14:textId="77777777" w:rsidR="00C463BC" w:rsidRPr="0049568B" w:rsidRDefault="00C463BC" w:rsidP="00C463BC">
      <w:pPr>
        <w:rPr>
          <w:vanish/>
        </w:rPr>
      </w:pPr>
      <w:r>
        <w:rPr>
          <w:vanish/>
        </w:rPr>
        <w:t>&lt;/TRAILER_SECTION&gt;</w:t>
      </w:r>
    </w:p>
    <w:p w14:paraId="7125F995" w14:textId="77777777" w:rsidR="00C463BC" w:rsidRPr="0049568B" w:rsidRDefault="00C463BC" w:rsidP="00C463BC">
      <w:pPr>
        <w:rPr>
          <w:rFonts w:cs="Arial"/>
          <w:vanish/>
        </w:rPr>
      </w:pPr>
      <w:r>
        <w:rPr>
          <w:rFonts w:cs="Arial"/>
          <w:vanish/>
        </w:rPr>
        <w:t>&lt;LAYOUT_SECTION&gt;</w:t>
      </w:r>
    </w:p>
    <w:p w14:paraId="7125F996" w14:textId="77777777" w:rsidR="007764AA" w:rsidRDefault="007764AA"/>
    <w:sectPr w:rsidR="007764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5F999" w14:textId="77777777" w:rsidR="003C28C7" w:rsidRDefault="003C28C7" w:rsidP="00C463BC">
      <w:r>
        <w:separator/>
      </w:r>
    </w:p>
  </w:endnote>
  <w:endnote w:type="continuationSeparator" w:id="0">
    <w:p w14:paraId="7125F99A" w14:textId="77777777" w:rsidR="003C28C7" w:rsidRDefault="003C28C7" w:rsidP="00C4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5F997" w14:textId="77777777" w:rsidR="003C28C7" w:rsidRDefault="003C28C7" w:rsidP="00C463BC">
      <w:r>
        <w:separator/>
      </w:r>
    </w:p>
  </w:footnote>
  <w:footnote w:type="continuationSeparator" w:id="0">
    <w:p w14:paraId="7125F998" w14:textId="77777777" w:rsidR="003C28C7" w:rsidRDefault="003C28C7" w:rsidP="00C46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0" w:type="dxa"/>
      <w:tblLook w:val="01E0" w:firstRow="1" w:lastRow="1" w:firstColumn="1" w:lastColumn="1" w:noHBand="0" w:noVBand="0"/>
    </w:tblPr>
    <w:tblGrid>
      <w:gridCol w:w="5778"/>
      <w:gridCol w:w="3686"/>
    </w:tblGrid>
    <w:tr w:rsidR="00C463BC" w:rsidRPr="00C463BC" w14:paraId="7125F99D" w14:textId="77777777" w:rsidTr="00F55E72">
      <w:tc>
        <w:tcPr>
          <w:tcW w:w="5778" w:type="dxa"/>
          <w:vMerge w:val="restart"/>
        </w:tcPr>
        <w:p w14:paraId="7125F99B" w14:textId="77777777" w:rsidR="00C463BC" w:rsidRPr="00C463BC" w:rsidRDefault="00C463BC" w:rsidP="00C463BC">
          <w:pPr>
            <w:tabs>
              <w:tab w:val="center" w:pos="4153"/>
              <w:tab w:val="right" w:pos="8306"/>
            </w:tabs>
            <w:jc w:val="both"/>
            <w:rPr>
              <w:lang w:eastAsia="en-US"/>
            </w:rPr>
          </w:pPr>
          <w:r>
            <w:rPr>
              <w:rFonts w:cs="Arial"/>
              <w:noProof/>
              <w:sz w:val="44"/>
              <w:szCs w:val="44"/>
            </w:rPr>
            <w:drawing>
              <wp:inline distT="0" distB="0" distL="0" distR="0" wp14:anchorId="7125F9A5" wp14:editId="7125F9A6">
                <wp:extent cx="1085215" cy="646430"/>
                <wp:effectExtent l="0" t="0" r="635" b="127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46430"/>
                        </a:xfrm>
                        <a:prstGeom prst="rect">
                          <a:avLst/>
                        </a:prstGeom>
                        <a:noFill/>
                        <a:ln>
                          <a:noFill/>
                        </a:ln>
                      </pic:spPr>
                    </pic:pic>
                  </a:graphicData>
                </a:graphic>
              </wp:inline>
            </w:drawing>
          </w:r>
        </w:p>
      </w:tc>
      <w:tc>
        <w:tcPr>
          <w:tcW w:w="3686" w:type="dxa"/>
          <w:vAlign w:val="center"/>
        </w:tcPr>
        <w:p w14:paraId="7125F99C" w14:textId="77777777" w:rsidR="00C463BC" w:rsidRPr="00C463BC" w:rsidRDefault="00C463BC" w:rsidP="00C463BC">
          <w:pPr>
            <w:tabs>
              <w:tab w:val="right" w:pos="8306"/>
            </w:tabs>
            <w:rPr>
              <w:b/>
              <w:szCs w:val="22"/>
              <w:lang w:eastAsia="en-US"/>
            </w:rPr>
          </w:pPr>
          <w:r w:rsidRPr="00C463BC">
            <w:rPr>
              <w:b/>
              <w:szCs w:val="40"/>
            </w:rPr>
            <w:fldChar w:fldCharType="begin"/>
          </w:r>
          <w:r w:rsidRPr="00C463BC">
            <w:rPr>
              <w:b/>
              <w:szCs w:val="40"/>
            </w:rPr>
            <w:instrText xml:space="preserve"> DOCPROPERTY  CommitteeName  \* MERGEFORMAT </w:instrText>
          </w:r>
          <w:r w:rsidRPr="00C463BC">
            <w:rPr>
              <w:b/>
              <w:szCs w:val="40"/>
            </w:rPr>
            <w:fldChar w:fldCharType="separate"/>
          </w:r>
          <w:r w:rsidRPr="00C463BC">
            <w:rPr>
              <w:b/>
              <w:szCs w:val="40"/>
            </w:rPr>
            <w:t>European &amp; International</w:t>
          </w:r>
          <w:r w:rsidRPr="00C463BC">
            <w:rPr>
              <w:b/>
              <w:szCs w:val="40"/>
            </w:rPr>
            <w:fldChar w:fldCharType="end"/>
          </w:r>
        </w:p>
      </w:tc>
    </w:tr>
    <w:tr w:rsidR="00C463BC" w:rsidRPr="00C463BC" w14:paraId="7125F9A0" w14:textId="77777777" w:rsidTr="00F55E72">
      <w:trPr>
        <w:trHeight w:val="450"/>
      </w:trPr>
      <w:tc>
        <w:tcPr>
          <w:tcW w:w="0" w:type="auto"/>
          <w:vMerge/>
          <w:vAlign w:val="center"/>
        </w:tcPr>
        <w:p w14:paraId="7125F99E" w14:textId="77777777" w:rsidR="00C463BC" w:rsidRPr="00C463BC" w:rsidRDefault="00C463BC" w:rsidP="00C463BC">
          <w:pPr>
            <w:rPr>
              <w:sz w:val="24"/>
              <w:lang w:eastAsia="en-US"/>
            </w:rPr>
          </w:pPr>
        </w:p>
      </w:tc>
      <w:tc>
        <w:tcPr>
          <w:tcW w:w="3686" w:type="dxa"/>
          <w:vAlign w:val="center"/>
        </w:tcPr>
        <w:p w14:paraId="7125F99F" w14:textId="77777777" w:rsidR="00C463BC" w:rsidRPr="00C463BC" w:rsidRDefault="00C463BC" w:rsidP="00C463BC">
          <w:pPr>
            <w:tabs>
              <w:tab w:val="center" w:pos="4153"/>
              <w:tab w:val="right" w:pos="8306"/>
            </w:tabs>
            <w:spacing w:before="60"/>
            <w:rPr>
              <w:rFonts w:cs="Arial"/>
              <w:szCs w:val="22"/>
              <w:lang w:eastAsia="en-US"/>
            </w:rPr>
          </w:pPr>
          <w:r w:rsidRPr="00C463BC">
            <w:rPr>
              <w:rFonts w:cs="Arial"/>
              <w:szCs w:val="22"/>
              <w:lang w:eastAsia="en-US"/>
            </w:rPr>
            <w:t>26 February 2014</w:t>
          </w:r>
        </w:p>
      </w:tc>
    </w:tr>
    <w:tr w:rsidR="00C463BC" w:rsidRPr="00C463BC" w14:paraId="7125F9A3" w14:textId="77777777" w:rsidTr="00F55E72">
      <w:trPr>
        <w:trHeight w:val="450"/>
      </w:trPr>
      <w:tc>
        <w:tcPr>
          <w:tcW w:w="0" w:type="auto"/>
          <w:vMerge/>
          <w:vAlign w:val="center"/>
        </w:tcPr>
        <w:p w14:paraId="7125F9A1" w14:textId="77777777" w:rsidR="00C463BC" w:rsidRPr="00C463BC" w:rsidRDefault="00C463BC" w:rsidP="00C463BC">
          <w:pPr>
            <w:rPr>
              <w:sz w:val="24"/>
              <w:lang w:eastAsia="en-US"/>
            </w:rPr>
          </w:pPr>
        </w:p>
      </w:tc>
      <w:tc>
        <w:tcPr>
          <w:tcW w:w="3686" w:type="dxa"/>
          <w:vAlign w:val="center"/>
        </w:tcPr>
        <w:p w14:paraId="7125F9A2" w14:textId="77777777" w:rsidR="00C463BC" w:rsidRPr="00C463BC" w:rsidRDefault="00C463BC" w:rsidP="00C463BC">
          <w:pPr>
            <w:tabs>
              <w:tab w:val="center" w:pos="4153"/>
              <w:tab w:val="right" w:pos="8306"/>
            </w:tabs>
            <w:spacing w:before="60"/>
            <w:rPr>
              <w:rFonts w:cs="Arial"/>
              <w:b/>
              <w:szCs w:val="22"/>
              <w:lang w:eastAsia="en-US"/>
            </w:rPr>
          </w:pPr>
        </w:p>
      </w:tc>
    </w:tr>
  </w:tbl>
  <w:p w14:paraId="7125F9A4" w14:textId="77777777" w:rsidR="00C463BC" w:rsidRDefault="00C463BC">
    <w:pPr>
      <w:pStyle w:val="Header"/>
    </w:pPr>
  </w:p>
  <w:p w14:paraId="19F843BB" w14:textId="77777777" w:rsidR="00FA2756" w:rsidRDefault="00FA2756">
    <w:pPr>
      <w:pStyle w:val="Header"/>
    </w:pPr>
  </w:p>
  <w:p w14:paraId="2F204010" w14:textId="77777777" w:rsidR="00D6786E" w:rsidRDefault="00D67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F19"/>
    <w:multiLevelType w:val="hybridMultilevel"/>
    <w:tmpl w:val="49E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210CB"/>
    <w:multiLevelType w:val="hybridMultilevel"/>
    <w:tmpl w:val="FA7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BC"/>
    <w:rsid w:val="003C28C7"/>
    <w:rsid w:val="007764AA"/>
    <w:rsid w:val="00BA5529"/>
    <w:rsid w:val="00C312D0"/>
    <w:rsid w:val="00C463BC"/>
    <w:rsid w:val="00D6786E"/>
    <w:rsid w:val="00FA2756"/>
    <w:rsid w:val="00FD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BC"/>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BC"/>
    <w:pPr>
      <w:ind w:left="720"/>
    </w:pPr>
  </w:style>
  <w:style w:type="paragraph" w:styleId="Header">
    <w:name w:val="header"/>
    <w:basedOn w:val="Normal"/>
    <w:link w:val="HeaderChar"/>
    <w:uiPriority w:val="99"/>
    <w:unhideWhenUsed/>
    <w:rsid w:val="00C463BC"/>
    <w:pPr>
      <w:tabs>
        <w:tab w:val="center" w:pos="4513"/>
        <w:tab w:val="right" w:pos="9026"/>
      </w:tabs>
    </w:pPr>
  </w:style>
  <w:style w:type="character" w:customStyle="1" w:styleId="HeaderChar">
    <w:name w:val="Header Char"/>
    <w:basedOn w:val="DefaultParagraphFont"/>
    <w:link w:val="Header"/>
    <w:uiPriority w:val="99"/>
    <w:rsid w:val="00C463BC"/>
    <w:rPr>
      <w:rFonts w:ascii="Arial" w:eastAsia="Times New Roman" w:hAnsi="Arial" w:cs="Times New Roman"/>
      <w:szCs w:val="20"/>
      <w:lang w:eastAsia="en-GB"/>
    </w:rPr>
  </w:style>
  <w:style w:type="paragraph" w:styleId="Footer">
    <w:name w:val="footer"/>
    <w:basedOn w:val="Normal"/>
    <w:link w:val="FooterChar"/>
    <w:uiPriority w:val="99"/>
    <w:unhideWhenUsed/>
    <w:rsid w:val="00C463BC"/>
    <w:pPr>
      <w:tabs>
        <w:tab w:val="center" w:pos="4513"/>
        <w:tab w:val="right" w:pos="9026"/>
      </w:tabs>
    </w:pPr>
  </w:style>
  <w:style w:type="character" w:customStyle="1" w:styleId="FooterChar">
    <w:name w:val="Footer Char"/>
    <w:basedOn w:val="DefaultParagraphFont"/>
    <w:link w:val="Footer"/>
    <w:uiPriority w:val="99"/>
    <w:rsid w:val="00C463BC"/>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C463BC"/>
    <w:rPr>
      <w:rFonts w:ascii="Tahoma" w:hAnsi="Tahoma" w:cs="Tahoma"/>
      <w:sz w:val="16"/>
      <w:szCs w:val="16"/>
    </w:rPr>
  </w:style>
  <w:style w:type="character" w:customStyle="1" w:styleId="BalloonTextChar">
    <w:name w:val="Balloon Text Char"/>
    <w:basedOn w:val="DefaultParagraphFont"/>
    <w:link w:val="BalloonText"/>
    <w:uiPriority w:val="99"/>
    <w:semiHidden/>
    <w:rsid w:val="00C463B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BC"/>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BC"/>
    <w:pPr>
      <w:ind w:left="720"/>
    </w:pPr>
  </w:style>
  <w:style w:type="paragraph" w:styleId="Header">
    <w:name w:val="header"/>
    <w:basedOn w:val="Normal"/>
    <w:link w:val="HeaderChar"/>
    <w:uiPriority w:val="99"/>
    <w:unhideWhenUsed/>
    <w:rsid w:val="00C463BC"/>
    <w:pPr>
      <w:tabs>
        <w:tab w:val="center" w:pos="4513"/>
        <w:tab w:val="right" w:pos="9026"/>
      </w:tabs>
    </w:pPr>
  </w:style>
  <w:style w:type="character" w:customStyle="1" w:styleId="HeaderChar">
    <w:name w:val="Header Char"/>
    <w:basedOn w:val="DefaultParagraphFont"/>
    <w:link w:val="Header"/>
    <w:uiPriority w:val="99"/>
    <w:rsid w:val="00C463BC"/>
    <w:rPr>
      <w:rFonts w:ascii="Arial" w:eastAsia="Times New Roman" w:hAnsi="Arial" w:cs="Times New Roman"/>
      <w:szCs w:val="20"/>
      <w:lang w:eastAsia="en-GB"/>
    </w:rPr>
  </w:style>
  <w:style w:type="paragraph" w:styleId="Footer">
    <w:name w:val="footer"/>
    <w:basedOn w:val="Normal"/>
    <w:link w:val="FooterChar"/>
    <w:uiPriority w:val="99"/>
    <w:unhideWhenUsed/>
    <w:rsid w:val="00C463BC"/>
    <w:pPr>
      <w:tabs>
        <w:tab w:val="center" w:pos="4513"/>
        <w:tab w:val="right" w:pos="9026"/>
      </w:tabs>
    </w:pPr>
  </w:style>
  <w:style w:type="character" w:customStyle="1" w:styleId="FooterChar">
    <w:name w:val="Footer Char"/>
    <w:basedOn w:val="DefaultParagraphFont"/>
    <w:link w:val="Footer"/>
    <w:uiPriority w:val="99"/>
    <w:rsid w:val="00C463BC"/>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C463BC"/>
    <w:rPr>
      <w:rFonts w:ascii="Tahoma" w:hAnsi="Tahoma" w:cs="Tahoma"/>
      <w:sz w:val="16"/>
      <w:szCs w:val="16"/>
    </w:rPr>
  </w:style>
  <w:style w:type="character" w:customStyle="1" w:styleId="BalloonTextChar">
    <w:name w:val="Balloon Text Char"/>
    <w:basedOn w:val="DefaultParagraphFont"/>
    <w:link w:val="BalloonText"/>
    <w:uiPriority w:val="99"/>
    <w:semiHidden/>
    <w:rsid w:val="00C463B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5</cp:revision>
  <dcterms:created xsi:type="dcterms:W3CDTF">2013-12-24T12:26:00Z</dcterms:created>
  <dcterms:modified xsi:type="dcterms:W3CDTF">2014-02-19T17:37:00Z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2014-02-17T00:00:00Z</vt:lpwstr>
  </op:property>
  <op:property fmtid="{D5CDD505-2E9C-101B-9397-08002B2CF9AE}" pid="10" name="e-GMS.subject.keyword">
    <vt:lpwstr>Eurpean and International Affairs Panel,</vt:lpwstr>
  </op:property>
  <op:property fmtid="{D5CDD505-2E9C-101B-9397-08002B2CF9AE}" pid="11" name="Date">
    <vt:lpwstr>2014-02-17T00:00:00Z</vt:lpwstr>
  </op:property>
  <op:property fmtid="{D5CDD505-2E9C-101B-9397-08002B2CF9AE}" pid="12" name="Title">
    <vt:lpwstr>Minutes from the last meeting</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